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vertAlign w:val="baseline"/>
        </w:rPr>
        <w:sectPr>
          <w:headerReference r:id="rId7" w:type="default"/>
          <w:footerReference r:id="rId8" w:type="default"/>
          <w:pgSz w:h="16834" w:w="11909" w:orient="portrait"/>
          <w:pgMar w:bottom="1133.8582677165355" w:top="1700.7874015748032" w:left="1700.7874015748032" w:right="1133.8582677165355" w:header="720" w:footer="720"/>
          <w:pgNumType w:start="1"/>
        </w:sectPr>
      </w:pPr>
      <w:bookmarkStart w:colFirst="0" w:colLast="0" w:name="_heading=h.8w21p6jvp3l6" w:id="0"/>
      <w:bookmarkEnd w:id="0"/>
      <w:r w:rsidDel="00000000" w:rsidR="00000000" w:rsidRPr="00000000">
        <w:rPr>
          <w:rtl w:val="0"/>
        </w:rPr>
      </w:r>
    </w:p>
    <w:p w:rsidR="00000000" w:rsidDel="00000000" w:rsidP="00000000" w:rsidRDefault="00000000" w:rsidRPr="00000000" w14:paraId="00000002">
      <w:pPr>
        <w:pStyle w:val="Title"/>
        <w:ind w:left="0" w:firstLine="0"/>
        <w:jc w:val="center"/>
        <w:rPr/>
      </w:pPr>
      <w:bookmarkStart w:colFirst="0" w:colLast="0" w:name="_heading=h.ohzyrm2nmzt2" w:id="1"/>
      <w:bookmarkEnd w:id="1"/>
      <w:r w:rsidDel="00000000" w:rsidR="00000000" w:rsidRPr="00000000">
        <w:rPr>
          <w:rtl w:val="0"/>
        </w:rPr>
        <w:t xml:space="preserve">UNIVERSIDADE FEDERAL DE ALAGOAS</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FACULDADE DE ECONOMIA, ADMINISTRAÇÃO E CONTABILIDADE</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MENTORIA MEI</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Style w:val="Title"/>
        <w:ind w:left="0" w:firstLine="0"/>
        <w:jc w:val="center"/>
        <w:rPr/>
      </w:pPr>
      <w:bookmarkStart w:colFirst="0" w:colLast="0" w:name="_heading=h.cbwkcvllu1rt" w:id="2"/>
      <w:bookmarkEnd w:id="2"/>
      <w:r w:rsidDel="00000000" w:rsidR="00000000" w:rsidRPr="00000000">
        <w:rPr>
          <w:rtl w:val="0"/>
        </w:rPr>
        <w:t xml:space="preserve">CAPÍTULO 9 - COMO O MEI PODE DEFINIR SEU PREÇO DE VENDA?</w:t>
      </w:r>
      <w:r w:rsidDel="00000000" w:rsidR="00000000" w:rsidRPr="00000000">
        <w:rPr>
          <w:rtl w:val="0"/>
        </w:rPr>
      </w:r>
    </w:p>
    <w:p w:rsidR="00000000" w:rsidDel="00000000" w:rsidP="00000000" w:rsidRDefault="00000000" w:rsidRPr="00000000" w14:paraId="0000000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dos Santos</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 Maia de Melo</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Erika de Araújo</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Filipe Pereira dos Santos</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Victor da Silva Pereira</w:t>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Guilherme Vinícius Salvador</w:t>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Joana Beatriz da Silva Feitosa</w:t>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Jhonatan Felipe Custódio dos Santos Silva</w:t>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Luís Eduardo da Silva Costa</w:t>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Luís Fellipe Santos da Silva</w:t>
      </w:r>
    </w:p>
    <w:p w:rsidR="00000000" w:rsidDel="00000000" w:rsidP="00000000" w:rsidRDefault="00000000" w:rsidRPr="00000000" w14:paraId="000000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Vinicius de Oliveira Sales</w:t>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Eduarda Araujo Costa</w:t>
      </w:r>
    </w:p>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Rebeca Silva Santos</w:t>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Melqui Wanderson Santos de Oliveira Alves</w:t>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Péricles Henrique dos Santos</w:t>
      </w:r>
    </w:p>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Maria Eduarda da Silva Lima</w:t>
      </w:r>
    </w:p>
    <w:p w:rsidR="00000000" w:rsidDel="00000000" w:rsidP="00000000" w:rsidRDefault="00000000" w:rsidRPr="00000000" w14:paraId="000000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Valdemir da Silva</w:t>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Vinícius José Silva Santos</w:t>
      </w:r>
    </w:p>
    <w:p w:rsidR="00000000" w:rsidDel="00000000" w:rsidP="00000000" w:rsidRDefault="00000000" w:rsidRPr="00000000" w14:paraId="0000002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MACEIÓ, AL</w:t>
      </w:r>
    </w:p>
    <w:p w:rsidR="00000000" w:rsidDel="00000000" w:rsidP="00000000" w:rsidRDefault="00000000" w:rsidRPr="00000000" w14:paraId="0000002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2023</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Title"/>
        <w:ind w:left="0" w:firstLine="0"/>
        <w:jc w:val="left"/>
        <w:rPr/>
      </w:pPr>
      <w:bookmarkStart w:colFirst="0" w:colLast="0" w:name="_heading=h.jv1ilx8szlxd" w:id="3"/>
      <w:bookmarkEnd w:id="3"/>
      <w:r w:rsidDel="00000000" w:rsidR="00000000" w:rsidRPr="00000000">
        <w:br w:type="page"/>
      </w:r>
      <w:r w:rsidDel="00000000" w:rsidR="00000000" w:rsidRPr="00000000">
        <w:rPr>
          <w:rtl w:val="0"/>
        </w:rPr>
      </w:r>
    </w:p>
    <w:p w:rsidR="00000000" w:rsidDel="00000000" w:rsidP="00000000" w:rsidRDefault="00000000" w:rsidRPr="00000000" w14:paraId="00000029">
      <w:pPr>
        <w:pStyle w:val="Title"/>
        <w:ind w:left="0" w:firstLine="0"/>
        <w:jc w:val="center"/>
        <w:rPr/>
      </w:pPr>
      <w:bookmarkStart w:colFirst="0" w:colLast="0" w:name="_heading=h.doqnu1qmw2kh" w:id="4"/>
      <w:bookmarkEnd w:id="4"/>
      <w:r w:rsidDel="00000000" w:rsidR="00000000" w:rsidRPr="00000000">
        <w:rPr>
          <w:rtl w:val="0"/>
        </w:rPr>
        <w:t xml:space="preserve">RESUMO</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definição adequada do preço de venda é um dos maiores desafios enfrentados pelos Microempreendedores Individuais, é importante para a sustentabilidade de seus negócios. Precificar corretamente não é apenas realizar cálculos, mas compreender o mercado, a concorrência e as especificidades do próprio negócio.</w:t>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Três métodos principais de precificação são abordados: baseado no custo, que considera os custos do produto somados a uma margem de lucro; baseado na concorrência, que utiliza os preços de mercado como referência; e baseado na demanda, que analisa o valor percebido pelo cliente. </w:t>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escolha do método adequado pode impactar diretamente o desempenho financeiro, como demonstrado nos casos analisados, onde a precificação baseada em custos apresentou maior estabilidade e lucratividade em comparação à estratégia baseada na concorrência. </w:t>
      </w:r>
    </w:p>
    <w:p w:rsidR="00000000" w:rsidDel="00000000" w:rsidP="00000000" w:rsidRDefault="00000000" w:rsidRPr="00000000" w14:paraId="0000002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texto também destaca a relevância de ferramentas financeiras como o cálculo do ponto de equilíbrio e do índice de </w:t>
      </w:r>
      <w:r w:rsidDel="00000000" w:rsidR="00000000" w:rsidRPr="00000000">
        <w:rPr>
          <w:rFonts w:ascii="Times New Roman" w:cs="Times New Roman" w:eastAsia="Times New Roman" w:hAnsi="Times New Roman"/>
          <w:i w:val="1"/>
          <w:iCs w:val="1"/>
          <w:sz w:val="24"/>
          <w:szCs w:val="24"/>
          <w:rtl w:val="0"/>
        </w:rPr>
        <w:t xml:space="preserve">Markup</w:t>
      </w:r>
      <w:r w:rsidDel="00000000" w:rsidR="00000000" w:rsidRPr="00000000">
        <w:rPr>
          <w:rFonts w:ascii="Times New Roman" w:cs="Times New Roman" w:eastAsia="Times New Roman" w:hAnsi="Times New Roman"/>
          <w:sz w:val="24"/>
          <w:szCs w:val="24"/>
          <w:rtl w:val="0"/>
        </w:rPr>
        <w:t xml:space="preserve"> para assegurar que os preços cubram os custos e proporcionem lucro. É reforçada a importância de revisar periodicamente os preços, ajustar-se às variações de custos e monitorar o ambiente econômico para garantir a competitividade e a saúde financeira do negócio. </w:t>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planejamento financeiro, como a separação de despesas pessoais e empresariais, é apontado como fundamental para evitar erros que possam comprometer a gestão.</w:t>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precificação é apresentada não apenas como uma ferramenta técnica, mas como uma estratégia central para o sucesso e a sobrevivência do MEI em um mercado competitivo, sendo necessária flexibilidade, monitoramento constante e a busca por métodos que equilibrem lucratividade e competitividade.</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Microempreendedor Individual, precificação, gestão de custos, margem de contribuição, ponto de equilíbrio.</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n1g6art7do0" w:id="5"/>
      <w:bookmarkEnd w:id="5"/>
      <w:r w:rsidDel="00000000" w:rsidR="00000000" w:rsidRPr="00000000">
        <w:rPr>
          <w:rtl w:val="0"/>
        </w:rPr>
        <w:t xml:space="preserve">INTRODUÇÃO</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alcançar o sucesso nas vendas de produtos ou prestação de serviços, o microempreendedor individual (MEI) precisa ir além da oferta de qualidade, bom atendimento e pontualidade. </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êxito do negócio depende de uma compreensão minuciosa dos custos operacionais e da capacidade de realizar compras estratégicas. </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fundamental que o empreendedor desenvolva habilidades para estimar o lucro pretendido e estabelecer preços adequados, considerando que estes devem cobrir todos os custos e manter-se competitivos, uma vez que o mercado determina as referências, e influencia as decisões de compra dos consumidores.</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(2017) enfatiza que o preço constitui um dos quatro pilares essenciais do mix de marketing, devendo ser estabelecido mediante análise criteriosa do mercado e da concorrência. </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microempreendedor, a definição do lucro requer um estudo detalhado dos custos variáveis de produção, incluindo matéria-prima e mão de obra, além da aplicação de uma margem compatível com a realidade do mercado. Contudo, muitos MEIs encontram obstáculos ao tentar implementar suas margens de lucro ideais, pois preços elevados podem desencorajar potenciais clientes. </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cenário econômico brasileiro impõe adaptações significativas aos microempreendedores. De acordo com o </w:t>
      </w:r>
      <w:r w:rsidDel="00000000" w:rsidR="00000000" w:rsidRPr="00000000">
        <w:rPr>
          <w:rFonts w:ascii="Times New Roman" w:cs="Times New Roman" w:eastAsia="Times New Roman" w:hAnsi="Times New Roman"/>
          <w:b w:val="1"/>
          <w:bCs w:val="1"/>
          <w:color w:val="0000ff"/>
          <w:sz w:val="24"/>
          <w:szCs w:val="24"/>
          <w:rtl w:val="0"/>
        </w:rPr>
        <w:t xml:space="preserve">IBGE (2025), a renda média mensal dos trabalhadores formais no país é de R$ 3.150,00 </w:t>
      </w:r>
      <w:r w:rsidDel="00000000" w:rsidR="00000000" w:rsidRPr="00000000">
        <w:rPr>
          <w:rFonts w:ascii="Times New Roman" w:cs="Times New Roman" w:eastAsia="Times New Roman" w:hAnsi="Times New Roman"/>
          <w:sz w:val="24"/>
          <w:szCs w:val="24"/>
          <w:rtl w:val="0"/>
        </w:rPr>
        <w:t xml:space="preserve">e uma parcela considerável da população, que recebe apenas um salário, prioriza o fator preço em suas decisões de compra. Uma pesquisa conduzida pelo Serviço de Apoio às Micro e Pequenas Empresas (Sebrae, 2022a) revelou que 67% dos consumidores consideram o preço como critério principal na escolha de produtos, o que exige dos empreendedores um equilíbrio delicado entre preço e qualidade. </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formação do preço, o conhecimento aprofundado da estrutura de custos é essencial. Hiriyappa (2020) estabelece uma distinção importante entre custos, gastos e despesas: enquanto os custos estão diretamente vinculados à produção, as despesas englobam outros desembolsos necessários, como aluguel, energia elétrica e folha de pagamento. Todos estes elementos devem ser criteriosamente considerados na composição do preço final.</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da margem de contribuição, definida como a diferença entre o preço de venda e os custos variáveis, representa outro aspecto crucial. Bruni e Famá (2021) destacam que esta margem deve ser suficiente para cobrir as despesas fixas e possibilitar que o negócio atinja seu ponto de equilíbrio — momento em que as receitas se igualam aos custos totais. Um cálculo impreciso dessa margem pode comprometer a viabilidade financeira do empreendimento e sua sustentabilidade no longo prazo.</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b w:val="1"/>
          <w:bCs w:val="1"/>
          <w:color w:val="0000ff"/>
          <w:sz w:val="24"/>
          <w:szCs w:val="24"/>
        </w:rPr>
      </w:pPr>
      <w:r w:rsidDel="00000000" w:rsidR="00000000" w:rsidRPr="00000000">
        <w:rPr>
          <w:rFonts w:ascii="Times New Roman" w:cs="Times New Roman" w:eastAsia="Times New Roman" w:hAnsi="Times New Roman"/>
          <w:sz w:val="24"/>
          <w:szCs w:val="24"/>
          <w:rtl w:val="0"/>
        </w:rPr>
        <w:t xml:space="preserve">Uma precificação inadequada pode resultar em diversos problemas, desde a perda de competitividade até dificuldades no fluxo de caixa, podendo culminar na falência do negócio. </w:t>
      </w:r>
      <w:r w:rsidDel="00000000" w:rsidR="00000000" w:rsidRPr="00000000">
        <w:rPr>
          <w:rFonts w:ascii="Times New Roman" w:cs="Times New Roman" w:eastAsia="Times New Roman" w:hAnsi="Times New Roman"/>
          <w:b w:val="1"/>
          <w:bCs w:val="1"/>
          <w:color w:val="0000ff"/>
          <w:sz w:val="24"/>
          <w:szCs w:val="24"/>
          <w:rtl w:val="0"/>
        </w:rPr>
        <w:t xml:space="preserve">A </w:t>
      </w:r>
      <w:r w:rsidDel="00000000" w:rsidR="00000000" w:rsidRPr="00000000">
        <w:rPr>
          <w:rFonts w:ascii="Times New Roman" w:cs="Times New Roman" w:eastAsia="Times New Roman" w:hAnsi="Times New Roman"/>
          <w:b w:val="1"/>
          <w:bCs w:val="1"/>
          <w:i w:val="1"/>
          <w:iCs w:val="1"/>
          <w:color w:val="0000ff"/>
          <w:sz w:val="24"/>
          <w:szCs w:val="24"/>
          <w:rtl w:val="0"/>
        </w:rPr>
        <w:t xml:space="preserve">startup</w:t>
      </w:r>
      <w:r w:rsidDel="00000000" w:rsidR="00000000" w:rsidRPr="00000000">
        <w:rPr>
          <w:rFonts w:ascii="Times New Roman" w:cs="Times New Roman" w:eastAsia="Times New Roman" w:hAnsi="Times New Roman"/>
          <w:b w:val="1"/>
          <w:bCs w:val="1"/>
          <w:color w:val="0000ff"/>
          <w:sz w:val="24"/>
          <w:szCs w:val="24"/>
          <w:rtl w:val="0"/>
        </w:rPr>
        <w:t xml:space="preserve"> Preço Certo (2024) realizou um levantamento com 10 mil empresas brasileiras, revelando que 89% dos empreendedores não se sentem confiantes ao formar o preço de seus produtos ou serviços.</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é fundamental realizar revisões periódicas dos custos e margens de contribuição, garantindo preços que sejam simultaneamente competitivos e sustentáveis.</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 (2008) enfatiza que a precificação deve ser um processo dinâmico, adaptável às flutuações do mercado e às variações nos custos operacionais. A capacidade de ajustar estratégias e margens de lucro conforme as necessidades do mercado torna-se fundamental para a sobrevivência e o crescimento do negócio.</w:t>
      </w:r>
    </w:p>
    <w:p w:rsidR="00000000" w:rsidDel="00000000" w:rsidP="00000000" w:rsidRDefault="00000000" w:rsidRPr="00000000" w14:paraId="00000042">
      <w:pPr>
        <w:spacing w:line="360" w:lineRule="auto"/>
        <w:ind w:firstLine="720"/>
        <w:jc w:val="both"/>
        <w:rPr/>
      </w:pPr>
      <w:r w:rsidDel="00000000" w:rsidR="00000000" w:rsidRPr="00000000">
        <w:rPr>
          <w:rFonts w:ascii="Times New Roman" w:cs="Times New Roman" w:eastAsia="Times New Roman" w:hAnsi="Times New Roman"/>
          <w:sz w:val="24"/>
          <w:szCs w:val="24"/>
          <w:rtl w:val="0"/>
        </w:rPr>
        <w:t xml:space="preserve">Em conclusão, o sucesso do microempreendedor está intrinsecamente ligado ao domínio dos elementos que compõem a formação de preços. O conhecimento aprofundado dos custos variáveis, despesas fixas e margens de contribuição, aliado à capacidade de adaptação às condições do mercado, constitui a base para a construção de um negócio financeiramente saudável e sustentável.</w:t>
      </w: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kvc9l8hfdzrz" w:id="6"/>
      <w:bookmarkEnd w:id="6"/>
      <w:r w:rsidDel="00000000" w:rsidR="00000000" w:rsidRPr="00000000">
        <w:rPr>
          <w:rtl w:val="0"/>
        </w:rPr>
        <w:t xml:space="preserve">GASTOS, CUSTOS E DESPESAS: A BASE DA PRECIFICAÇÃO DE PRODUTOS E SERVIÇOS</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precificar produtos e serviços, é essencial que o microempreendedor compreenda o funcionamento de seu negócio, identificando e classificando corretamente os gastos, custos e despesas envolvidos. É imprescindível entender todos os elementos que compõem as operações da empresa e diferenciá-los com base em suas finalidades. Segundo Mais MEI (2020), essas classificações são fundamentais para o sucesso financeiro a longo prazo, pois ajudam o empreendedor a controlar melhor suas finanças e a precificar seus produtos ou serviços de forma mais assertiva.</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o microempreendedor – seja iniciante ou já em atividade – possa organizar suas finanças e garantir a saúde financeira de sua empresa, é indispensável compreender os conceitos de gastos, custos e despesas, bem como o impacto de cada um deles na gestão financeira. Essa compreensão é o primeiro passo para estabelecer um controle financeiro eficaz, que assegure a sustentabilidade do negócio. </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Gastos, de acordo com Martins (2018), referem-se ao sacrifício financeiro realizado pela empresa ao adquirir um bem ou serviço, independentemente de sua finalidade. Esse conceito abrange quaisquer desembolsos financeiros e serve como ponto de partida na análise de custos.</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custos, por sua vez, estão diretamente relacionados à produção de bens ou serviços, incluindo os recursos e a mão de obra envolvidos na atividade produtiva. </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(2018) define custos como todos os gastos vinculados diretamente à fabricação ou prestação de serviços, como matéria-prima, energia elétrica utilizada na fábrica e salários do pessoal envolvido na produção. </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as despesas, conforme Hiriyappa (2020), são gastos relacionados à manutenção do negócio e à obtenção de receitas, mas sem vínculo direto com a produção. Exemplos incluem materiais de escritório e salários administrativos.</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Compreender essas distinções é essencial para uma gestão financeira eficiente. Por exemplo, na indústria de calçados, a aquisição de couro para a produção de sapatos é classificada como custo, enquanto a compra de um telefone para a recepção é considerada uma despesa, pois está associada ao suporte das operações e não à produção direta (Ferreira; Almeida, 2023).</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é importante entender o conceito de valor agregado, que influencia diretamente a percepção do consumidor sobre o negócio. Segundo Kotler (2017), a definição de "caro" ou "barato" não está apenas atrelada ao preço, mas também ao valor percebido pelo cliente. Isso inclui os benefícios oferecidos pelo produto ou serviço e a experiência proporcionada pela empresa.</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custos podem ser classificados em fixos, variáveis, diretos e indiretos, conforme Martins (2018). Custos fixos são aqueles que não variam conforme o volume de produção, como aluguel e salários fixos. Já os custos variáveis sofrem alterações dependendo da demanda, como matéria-prima e energia elétrica. Custos diretos são facilmente identificáveis no produto final, como os insumos utilizados na fabricação de uma mercadoria, enquanto custos indiretos são mais difíceis de associar diretamente ao produto, como a manutenção de máquinas.</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os conceitos bem definidos, Martins (2018) aponta três principais métodos de precificação: com base nos custos, na concorrência e na demanda. Na precificação baseada nos custos, o preço é calculado a partir do custo de produção, ao qual é adicionada uma margem de lucro. </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 precificação baseada na concorrência utiliza os preços praticados no mercado como referência. Por fim, a precificação com base na demanda considera o perfil do público-alvo e o quanto os consumidores estão dispostos a pagar.</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uma organização financeira eficaz, é fundamental seguir o princípio da entidade, que determina a separação entre as finanças pessoais e as da empresa (Martins, 2018). </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prática evita misturas financeiras que podem comprometer a análise da lucratividade e da saúde financeira do negócio. Adotar uma contabilidade, mesmo que de maneira simples, é importante para evitar problemas fiscais e garantir uma gestão financeira sólida. Por exemplo, um microempreendedor que confecciona tiaras de cabelo terá como custo variável os insumos necessários para cada peça, enquanto o aluguel do espaço de produção será um custo fixo, independentemente do volume de vendas. </w:t>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categorização e análise cuidadosa dos elementos financeiros são fundamentais para assegurar a sustentabilidade e o sucesso do empreendimento a longo prazo.</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v8oou57vjjt" w:id="7"/>
      <w:bookmarkEnd w:id="7"/>
      <w:r w:rsidDel="00000000" w:rsidR="00000000" w:rsidRPr="00000000">
        <w:rPr>
          <w:rtl w:val="0"/>
        </w:rPr>
        <w:t xml:space="preserve">MARGEM DE CONTRIBUIÇÃO</w:t>
      </w: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Atingir resultados positivos é o objetivo principal de toda empresa, independentemente do seu porte, incluindo o microempreendedor individual. Dada a elevada disputa de mercado, faz-se necessário que este microempreendedor efetue uma gestão de custos bem elaborada. Exercer uma gestão de custos consciente e saudável tende a ser desafiador para grande parte dos microempreendedores individuais, principalmente quando se trata da precificação da atividade exercida pela empresa, considerando os custos fixos e variáveis existentes para que o MEI possa colocar em prática sua atividade (Sebrae, 2022).</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primordial que o MEI utilize uma ferramenta chamada Margem de Contribuição que, segundo Martins (2018), trata-se do valor residual proveniente da receita bruta após a dedução dos custos e despesas variáveis existentes na venda da mercadoria ou prestação de serviço. Em outras palavras, do preço de venda ou do preço cobrado pela prestação do serviço, deduzem-se os custos e despesas variáveis, resultando na margem de contribuição. O MEI deve objetivar e conquistar uma margem elevada para cobrir os custos e despesas fixas incorridas na produção, venda ou prestação de serviço. A fórmula para calcular a Margem de Contribuição é: </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33.96484375" w:hRule="atLeast"/>
          <w:tblHeader w:val="0"/>
        </w:trPr>
        <w:tc>
          <w:tcPr/>
          <w:p w:rsidR="00000000" w:rsidDel="00000000" w:rsidP="00000000" w:rsidRDefault="00000000" w:rsidRPr="00000000" w14:paraId="0000005A">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Margem de Contribuição = Preço de Venda - (Custos Variáveis + Despesas Variáveis)</w:t>
            </w:r>
          </w:p>
        </w:tc>
      </w:tr>
    </w:tbl>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Margem de Contribuição, existe também o Índice da Margem de Contribuição, que representa a demonstração percentual da contribuição de um bem, produto ou serviço para que os custos e demais despesas da empresa sejam sanados, além de demonstrar sua influência na geração de lucros para a empresa. </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dado pode ser obtido mediante a divisão da margem pela receita total do produto vendido ou serviço prestado, utilizando a fórmula:</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Índice da Margem de Contribuição = Margem de Contribuição / Receita Total</w:t>
            </w:r>
            <w:r w:rsidDel="00000000" w:rsidR="00000000" w:rsidRPr="00000000">
              <w:rPr>
                <w:rtl w:val="0"/>
              </w:rPr>
            </w:r>
          </w:p>
        </w:tc>
      </w:tr>
    </w:tbl>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destacar a capacidade de utilização da Margem de Contribuição como um instrumento de reorganização no mercado. Tomando como base o entendimento de Maher (2001), estes instrumentos são adequados para que o empresário avalie os bens e serviços mais rentáveis que ele possa oferecer. </w:t>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Grandes empresas frequentemente passam por descontinuidade na venda de produtos ou deixam de prestar determinados serviços, evoluindo para propostas que gerem maior rentabilidade. Assim, quanto maior for a rentabilidade, maior será a capacidade de quitar os custos e despesas fixas da empresa de maneira mais confortável, posteriormente gerando lucro ao empreendimento. Esses dados também podem ser relevantes para microempreendedores individuais.</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v58p52udtr7g" w:id="8"/>
      <w:bookmarkEnd w:id="8"/>
      <w:r w:rsidDel="00000000" w:rsidR="00000000" w:rsidRPr="00000000">
        <w:rPr>
          <w:rtl w:val="0"/>
        </w:rPr>
        <w:t xml:space="preserve">FORMAÇÃO DO PREÇO DE VENDA</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é fundamental compreender as fases do processo de formação do preço de venda. Na fase anterior, foram explicados conceitos como a margem de contribuição e sua importância na definição do preço de um produto ou serviço, além de conceitos relacionados aos gastos e à margem desejada sobre os gastos variáveis. Vale ressaltar que as despesas fixas da empresa não entram diretamente no cálculo do preço de venda; a margem obtida na venda é que será utilizada para cobrir essas despesas (Sebrae, 2022).</w:t>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imagine o caso de uma lanchonete que vende um sanduíche cujo gasto unitário é de R$ 3,00. Inicialmente, a margem de contribuição definida é de 40%, mas essa margem não está sendo suficiente para cobrir os gastos fixos, o que resulta em prejuízo ao final do período. O dono da lanchonete, então, decide aumentar a margem de contribuição para 50%. Aplicando essa mudança na fórmula do preço de venda, temos:</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Preço de Venda = (CVu + DVu) ÷ (100% - MC) × 100%</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9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rPr>
          <w:cantSplit w:val="0"/>
          <w:tblHeader w:val="0"/>
        </w:trPr>
        <w:tc>
          <w:tcPr/>
          <w:p w:rsidR="00000000" w:rsidDel="00000000" w:rsidP="00000000" w:rsidRDefault="00000000" w:rsidRPr="00000000" w14:paraId="0000006D">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Preço de Venda = R$ 3,00 ÷ (100% - 50%) = R$ 6,00</w:t>
            </w:r>
            <w:r w:rsidDel="00000000" w:rsidR="00000000" w:rsidRPr="00000000">
              <w:rPr>
                <w:rtl w:val="0"/>
              </w:rPr>
            </w:r>
          </w:p>
        </w:tc>
      </w:tr>
    </w:tbl>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aumento da margem, o novo preço de venda do sanduíche será de R$ 6,00. Contudo, é importante lembrar que o preço de venda não depende exclusivamente da vontade da empresa. Ele está condicionado a fatores externos, como o mercado, o poder de compra dos clientes, a concorrência no setor e outros aspectos que podem influenciar a aceitação do preço pelo público.</w:t>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vejamos outro exemplo. Imagine uma pessoa que abriu uma loja virtual para vender camisas. Ela adquiriu 100 camisas por R$20,00 cada, gastará R$300,00 com publicidade e estipulou uma comissão de 5% para os vendedores por cada camisa vendida. Além disso, deseja obter um lucro de 15%. Com essas informações, é possível calcular o preço de venda de cada camisa utilizando a fórmula do Markup.</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Primeiro, calculamos os gastos unitários:</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Gastos Unitários = Custo da Camisa + (Despesas Fixas ÷ Quantidade Total)</w:t>
            </w:r>
            <w:r w:rsidDel="00000000" w:rsidR="00000000" w:rsidRPr="00000000">
              <w:rPr>
                <w:rtl w:val="0"/>
              </w:rPr>
            </w:r>
          </w:p>
        </w:tc>
      </w:tr>
      <w:tr>
        <w:trPr>
          <w:cantSplit w:val="0"/>
          <w:tblHeader w:val="0"/>
        </w:trPr>
        <w:tc>
          <w:tcPr/>
          <w:p w:rsidR="00000000" w:rsidDel="00000000" w:rsidP="00000000" w:rsidRDefault="00000000" w:rsidRPr="00000000" w14:paraId="000000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Gastos Unitários = R$ 20,00 + (R$ 300,00 ÷ 100) = R$ 23,00</w:t>
            </w:r>
            <w:r w:rsidDel="00000000" w:rsidR="00000000" w:rsidRPr="00000000">
              <w:rPr>
                <w:rtl w:val="0"/>
              </w:rPr>
            </w:r>
          </w:p>
        </w:tc>
      </w:tr>
    </w:tbl>
    <w:p w:rsidR="00000000" w:rsidDel="00000000" w:rsidP="00000000" w:rsidRDefault="00000000" w:rsidRPr="00000000" w14:paraId="0000007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Em seguida, aplicamos a fórmula do Markup para calcular o preço de venda:</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Preço de Venda = Gastos Unitários ÷ (1 - (Comissão + Lucro))</w:t>
            </w:r>
            <w:r w:rsidDel="00000000" w:rsidR="00000000" w:rsidRPr="00000000">
              <w:rPr>
                <w:rtl w:val="0"/>
              </w:rPr>
            </w:r>
          </w:p>
        </w:tc>
      </w:tr>
    </w:tbl>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Preço de Venda = R$ 23,00 ÷ (1 - (0,05 + 0,15)) = R$ 23,00 ÷ 0,80 = R$ 28,75</w:t>
            </w:r>
            <w:r w:rsidDel="00000000" w:rsidR="00000000" w:rsidRPr="00000000">
              <w:rPr>
                <w:rtl w:val="0"/>
              </w:rPr>
            </w:r>
          </w:p>
        </w:tc>
      </w:tr>
    </w:tbl>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preço de venda de cada camisa será de </w:t>
      </w:r>
      <w:r w:rsidDel="00000000" w:rsidR="00000000" w:rsidRPr="00000000">
        <w:rPr>
          <w:rFonts w:ascii="Times New Roman" w:cs="Times New Roman" w:eastAsia="Times New Roman" w:hAnsi="Times New Roman"/>
          <w:b w:val="1"/>
          <w:bCs w:val="1"/>
          <w:sz w:val="24"/>
          <w:szCs w:val="24"/>
          <w:rtl w:val="0"/>
        </w:rPr>
        <w:t xml:space="preserve">R$28,75.</w:t>
      </w: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exemplo demonstra como a definição do preço de venda exige um entendimento claro dos componentes envolvidos, como custos, despesas variáveis e a margem de lucro desejada. Além disso, é essencial considerar o equilíbrio entre os custos da empresa e a aceitação do preço pelo mercado, garantindo competitividade e sustentabilidade financeira para o negócio.</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aw8l70pcjmyb" w:id="9"/>
      <w:bookmarkEnd w:id="9"/>
      <w:r w:rsidDel="00000000" w:rsidR="00000000" w:rsidRPr="00000000">
        <w:rPr>
          <w:rtl w:val="0"/>
        </w:rPr>
        <w:t xml:space="preserve">MARKUP</w:t>
      </w: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iCs w:val="1"/>
          <w:sz w:val="24"/>
          <w:szCs w:val="24"/>
          <w:rtl w:val="0"/>
        </w:rPr>
        <w:t xml:space="preserve">markup</w:t>
      </w:r>
      <w:r w:rsidDel="00000000" w:rsidR="00000000" w:rsidRPr="00000000">
        <w:rPr>
          <w:rFonts w:ascii="Times New Roman" w:cs="Times New Roman" w:eastAsia="Times New Roman" w:hAnsi="Times New Roman"/>
          <w:sz w:val="24"/>
          <w:szCs w:val="24"/>
          <w:rtl w:val="0"/>
        </w:rPr>
        <w:t xml:space="preserve"> é um multiplicador utilizado para padronizar preços de venda, sendo particularmente útil em contextos de preços constantes. Segundo o Sebrae (2022), embora seja uma ferramenta valiosa, o markup pode apresentar desafios em situações que demandam maior flexibilidade, como negociações de descontos com clientes, uma vez que alterações nos custos variáveis impactam diretamente os preços de venda. </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calcular o </w:t>
      </w:r>
      <w:r w:rsidDel="00000000" w:rsidR="00000000" w:rsidRPr="00000000">
        <w:rPr>
          <w:rFonts w:ascii="Times New Roman" w:cs="Times New Roman" w:eastAsia="Times New Roman" w:hAnsi="Times New Roman"/>
          <w:i w:val="1"/>
          <w:iCs w:val="1"/>
          <w:sz w:val="24"/>
          <w:szCs w:val="24"/>
          <w:rtl w:val="0"/>
        </w:rPr>
        <w:t xml:space="preserve">markup</w:t>
      </w:r>
      <w:r w:rsidDel="00000000" w:rsidR="00000000" w:rsidRPr="00000000">
        <w:rPr>
          <w:rFonts w:ascii="Times New Roman" w:cs="Times New Roman" w:eastAsia="Times New Roman" w:hAnsi="Times New Roman"/>
          <w:sz w:val="24"/>
          <w:szCs w:val="24"/>
          <w:rtl w:val="0"/>
        </w:rPr>
        <w:t xml:space="preserve">, basta dividir o preço de venda pelo valor de aquisição, produção do bem ou prestação do serviço. No exemplo da loja de camisas, com um preço de venda de R$ 28,75 e gastos unitários de R$ 23,00, o markup seria:</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Markup = Preço de Venda ÷ Gastos Unitários</w:t>
            </w:r>
            <w:r w:rsidDel="00000000" w:rsidR="00000000" w:rsidRPr="00000000">
              <w:rPr>
                <w:rtl w:val="0"/>
              </w:rPr>
            </w:r>
          </w:p>
        </w:tc>
      </w:tr>
      <w:tr>
        <w:trPr>
          <w:cantSplit w:val="0"/>
          <w:tblHeader w:val="0"/>
        </w:trPr>
        <w:tc>
          <w:tcPr/>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Markup = R$ 28,75 ÷ R$ 23,00 = 1,25</w:t>
            </w:r>
            <w:r w:rsidDel="00000000" w:rsidR="00000000" w:rsidRPr="00000000">
              <w:rPr>
                <w:rtl w:val="0"/>
              </w:rPr>
            </w:r>
          </w:p>
        </w:tc>
      </w:tr>
    </w:tbl>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suponha que os gastos unitários aumentem para R$25,00. Mantendo o mesmo markup de 1,25, o novo preço de venda será:</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Preço de Venda = Novo Gasto Unitário × Markup</w:t>
            </w:r>
            <w:r w:rsidDel="00000000" w:rsidR="00000000" w:rsidRPr="00000000">
              <w:rPr>
                <w:rtl w:val="0"/>
              </w:rPr>
            </w:r>
          </w:p>
        </w:tc>
      </w:tr>
      <w:tr>
        <w:trPr>
          <w:cantSplit w:val="0"/>
          <w:tblHeader w:val="0"/>
        </w:trPr>
        <w:tc>
          <w:tcPr/>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Preço de Venda = R$ 25,00 × 1,25 = R$ 31,25</w:t>
            </w:r>
            <w:r w:rsidDel="00000000" w:rsidR="00000000" w:rsidRPr="00000000">
              <w:rPr>
                <w:rtl w:val="0"/>
              </w:rPr>
            </w:r>
          </w:p>
        </w:tc>
      </w:tr>
    </w:tbl>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cálculo demonstra a importância de acompanhar os custos e atualizar os preços de venda para manter a lucratividade e a sustentabilidade do negócio. No entanto, é essencial que o microempreendedor mantenha a contabilidade organizada e atualizada regularmente para garantir precisão nos cálculos e facilitar a tomada de decisões estratégicas.</w:t>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falta de organização financeira pode gerar problemas, como a incapacidade de ajustar os preços de venda de forma adequada frente a mudanças nos custos. Dessa forma, ao utilizar ferramentas como o markup, é imprescindível que o empreendedor conheça bem os custos fixos, variáveis e a margem de contribuição desejada, garantindo competitividade e lucratividade no mercado.</w:t>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uso do markup deve ser aliado a uma gestão financeira eficiente e a um acompanhamento constante das condições do mercado. O empreendedor precisa não apenas calcular os preços corretamente, mas também avaliar se o valor definido é competitivo e aceitável para os consumidores, considerando fatores como concorrência, poder de compra do público-alvo e percepção de valor do produto ou serviço.</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de equilíbrio é o momento em que as despesas totais de uma empresa, sejam elas fixas ou variáveis, estão em equilíbrio com suas receitas totais, ou seja, quando a receita bruta é suficiente para cobrir todos os custos e despesas, sem gerar lucro ou prejuízo (Martins, 2018). Esse indicador é essencial para determinar a quantidade mínima de produtos ou serviços que a empresa deve produzir e vender para evitar prejuízos. Para calcular o Ponto de Equilíbrio Operacional (PEO), é necessário que o MEI conheça seus custos totais e sua margem de contribuição total. A fórmula utilizada é:</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Operacional = Custos Totais ÷ Margem de Contribuição</w:t>
            </w:r>
            <w:r w:rsidDel="00000000" w:rsidR="00000000" w:rsidRPr="00000000">
              <w:rPr>
                <w:rtl w:val="0"/>
              </w:rPr>
            </w:r>
          </w:p>
        </w:tc>
      </w:tr>
    </w:tbl>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Segue o gráfico abaixo como demonstração do ponto de equilíbrio:</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b w:val="1"/>
          <w:bCs w:val="1"/>
          <w:color w:val="0000ff"/>
          <w:sz w:val="24"/>
          <w:szCs w:val="24"/>
        </w:rPr>
      </w:pPr>
      <w:r w:rsidDel="00000000" w:rsidR="00000000" w:rsidRPr="00000000">
        <w:rPr>
          <w:rFonts w:ascii="Times New Roman" w:cs="Times New Roman" w:eastAsia="Times New Roman" w:hAnsi="Times New Roman"/>
          <w:b w:val="1"/>
          <w:bCs w:val="1"/>
          <w:color w:val="0000ff"/>
          <w:sz w:val="24"/>
          <w:szCs w:val="24"/>
          <w:rtl w:val="0"/>
        </w:rPr>
        <w:t xml:space="preserve">Gráfico 1: Ponto de Equilíbrio</w:t>
      </w:r>
    </w:p>
    <w:p w:rsidR="00000000" w:rsidDel="00000000" w:rsidP="00000000" w:rsidRDefault="00000000" w:rsidRPr="00000000" w14:paraId="000000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40063" cy="311312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340063" cy="311312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b w:val="1"/>
          <w:bCs w:val="1"/>
          <w:color w:val="0000ff"/>
          <w:sz w:val="24"/>
          <w:szCs w:val="24"/>
        </w:rPr>
      </w:pPr>
      <w:r w:rsidDel="00000000" w:rsidR="00000000" w:rsidRPr="00000000">
        <w:rPr>
          <w:rFonts w:ascii="Times New Roman" w:cs="Times New Roman" w:eastAsia="Times New Roman" w:hAnsi="Times New Roman"/>
          <w:b w:val="1"/>
          <w:bCs w:val="1"/>
          <w:color w:val="0000ff"/>
          <w:sz w:val="24"/>
          <w:szCs w:val="24"/>
          <w:rtl w:val="0"/>
        </w:rPr>
        <w:t xml:space="preserve">Fonte: Wizfee (2017).</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de equilíbrio ocorre quando a receita total é igual à soma dos custos fixos, custos variáveis e despesas totais (fixas e variáveis). Esse cálculo permite ao empreendedor entender melhor o desempenho financeiro do negócio e tomar decisões estratégicas mais assertivas.</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Existem três tipos de ponto de equilíbrio que podem ser utilizados, dependendo da necessidade:</w:t>
      </w:r>
    </w:p>
    <w:p w:rsidR="00000000" w:rsidDel="00000000" w:rsidP="00000000" w:rsidRDefault="00000000" w:rsidRPr="00000000" w14:paraId="0000009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w:t>
      </w:r>
      <w:r w:rsidDel="00000000" w:rsidR="00000000" w:rsidRPr="00000000">
        <w:rPr>
          <w:rFonts w:ascii="Times New Roman" w:cs="Times New Roman" w:eastAsia="Times New Roman" w:hAnsi="Times New Roman"/>
          <w:sz w:val="24"/>
          <w:szCs w:val="24"/>
          <w:rtl w:val="0"/>
        </w:rPr>
        <w:t xml:space="preserve"> é a fórmula mais simples e usual, na qual se determina a receita necessária apenas para cobrir os custos e despesas fixas, garantindo que o lucro e o prejuízo sejam “zerados”. A fórmula é: </w:t>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vAlign w:val="center"/>
          </w:tcPr>
          <w:p w:rsidR="00000000" w:rsidDel="00000000" w:rsidP="00000000" w:rsidRDefault="00000000" w:rsidRPr="00000000" w14:paraId="0000009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 = Custos e Despesa Fixas ÷ Margem de Contribuição</w:t>
            </w:r>
          </w:p>
        </w:tc>
      </w:tr>
    </w:tbl>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w:t>
      </w:r>
      <w:r w:rsidDel="00000000" w:rsidR="00000000" w:rsidRPr="00000000">
        <w:rPr>
          <w:rFonts w:ascii="Times New Roman" w:cs="Times New Roman" w:eastAsia="Times New Roman" w:hAnsi="Times New Roman"/>
          <w:sz w:val="24"/>
          <w:szCs w:val="24"/>
          <w:rtl w:val="0"/>
        </w:rPr>
        <w:t xml:space="preserve"> similar ao ponto de equilíbrio contábil, porém, exclui da fórmula os custos e despesas fixas que não exigem desembolso, como depreciações. Dessa forma, o cálculo considera apenas o que efetivamente impacta o fluxo de caixa. A fórmula é: </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9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 Custos e Despesas Não Desembolsáveis ÷ Margem de Contribuição</w:t>
            </w:r>
          </w:p>
        </w:tc>
      </w:tr>
    </w:tbl>
    <w:p w:rsidR="00000000" w:rsidDel="00000000" w:rsidP="00000000" w:rsidRDefault="00000000" w:rsidRPr="00000000" w14:paraId="0000009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w:t>
      </w:r>
      <w:r w:rsidDel="00000000" w:rsidR="00000000" w:rsidRPr="00000000">
        <w:rPr>
          <w:rFonts w:ascii="Times New Roman" w:cs="Times New Roman" w:eastAsia="Times New Roman" w:hAnsi="Times New Roman"/>
          <w:sz w:val="24"/>
          <w:szCs w:val="24"/>
          <w:rtl w:val="0"/>
        </w:rPr>
        <w:t xml:space="preserve"> além de cobrir os custos e despesas fixas, este cálculo inclui uma margem de lucro mínima que a empresa deseja alcançar. A fórmula é:</w:t>
      </w: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9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 (Custos e Despesas Fixas + Lucro Mínimo) ÷ Margem de Contribuição</w:t>
            </w:r>
          </w:p>
        </w:tc>
      </w:tr>
    </w:tbl>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realizar esses cálculos, o empreendedor consegue identificar com precisão o valor que deve faturar para cobrir todos os custos e despesas, além de garantir a sustentabilidade financeira do negócio.</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exemplo, Felipe é um comerciante que vende casacos através de marketplaces. Ele possui um custo total mensal de R$3.000,00. Cada casaco é vendido por R$7.000,00, e a margem de contribuição total é de 50%. Utilizando a fórmula do ponto de equilíbrio vamos calcular os três tipos de ponto de equilíbrio (Contábil, Financeiro e Econômico) usando o exemplo do comerciante Felipe, que vende casacos, com os seguintes dados: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 Total (Custos e Despesas Fixas): R$ 3.000,00</w:t>
      </w:r>
    </w:p>
    <w:p w:rsidR="00000000" w:rsidDel="00000000" w:rsidP="00000000" w:rsidRDefault="00000000" w:rsidRPr="00000000" w14:paraId="000000A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Preço de Venda Unitário: R$ 7.000,00</w:t>
      </w:r>
    </w:p>
    <w:p w:rsidR="00000000" w:rsidDel="00000000" w:rsidP="00000000" w:rsidRDefault="00000000" w:rsidRPr="00000000" w14:paraId="000000A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Margem de Contribuição Total: 50% (ou 0,5)</w:t>
      </w:r>
    </w:p>
    <w:p w:rsidR="00000000" w:rsidDel="00000000" w:rsidP="00000000" w:rsidRDefault="00000000" w:rsidRPr="00000000" w14:paraId="000000A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Lucro Mínimo Desejado: R$ 1.000,00</w:t>
      </w:r>
    </w:p>
    <w:p w:rsidR="00000000" w:rsidDel="00000000" w:rsidP="00000000" w:rsidRDefault="00000000" w:rsidRPr="00000000" w14:paraId="000000A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Custos e Despesas Não Desembolsáveis: R$ 500,00</w:t>
      </w:r>
    </w:p>
    <w:p w:rsidR="00000000" w:rsidDel="00000000" w:rsidP="00000000" w:rsidRDefault="00000000" w:rsidRPr="00000000" w14:paraId="000000A8">
      <w:pPr>
        <w:spacing w:line="360" w:lineRule="auto"/>
        <w:ind w:firstLine="72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numPr>
          <w:ilvl w:val="1"/>
          <w:numId w:val="2"/>
        </w:numPr>
        <w:spacing w:line="360" w:lineRule="auto"/>
        <w:ind w:left="1440" w:hanging="360"/>
        <w:rPr/>
      </w:pPr>
      <w:r w:rsidDel="00000000" w:rsidR="00000000" w:rsidRPr="00000000">
        <w:rPr>
          <w:rFonts w:ascii="Times New Roman" w:cs="Times New Roman" w:eastAsia="Times New Roman" w:hAnsi="Times New Roman"/>
          <w:b w:val="1"/>
          <w:bCs w:val="1"/>
          <w:sz w:val="24"/>
          <w:szCs w:val="24"/>
          <w:rtl w:val="0"/>
        </w:rPr>
        <w:t xml:space="preserve">Ponto de Equilíbrio Operacional</w:t>
      </w:r>
      <w:r w:rsidDel="00000000" w:rsidR="00000000" w:rsidRPr="00000000">
        <w:rPr>
          <w:rtl w:val="0"/>
        </w:rPr>
      </w:r>
    </w:p>
    <w:tbl>
      <w:tblPr>
        <w:tblStyle w:val="Table1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AA">
            <w:pPr>
              <w:spacing w:line="36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Operacional = Custos Totais ÷ Margem de Contribuição</w:t>
            </w:r>
          </w:p>
        </w:tc>
      </w:tr>
    </w:tbl>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p w:rsidR="00000000" w:rsidDel="00000000" w:rsidP="00000000" w:rsidRDefault="00000000" w:rsidRPr="00000000" w14:paraId="000000AD">
      <w:pPr>
        <w:spacing w:line="36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Operacional = R$ 3.000,00 ÷ 0,50 = R$ 6.000,00</w:t>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AE">
            <w:pPr>
              <w:spacing w:line="36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Operacional = Custos Totais ÷ Margem de Contribuição</w:t>
            </w:r>
          </w:p>
        </w:tc>
      </w:tr>
    </w:tbl>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com os dados fornecidos:</w:t>
      </w:r>
    </w:p>
    <w:p w:rsidR="00000000" w:rsidDel="00000000" w:rsidP="00000000" w:rsidRDefault="00000000" w:rsidRPr="00000000" w14:paraId="000000B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Custos Totais = R$3.000,00 (fixos) + custos variáveis já considerados na margem de contribuição (50%).</w:t>
      </w:r>
    </w:p>
    <w:p w:rsidR="00000000" w:rsidDel="00000000" w:rsidP="00000000" w:rsidRDefault="00000000" w:rsidRPr="00000000" w14:paraId="000000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Ponto de Equilíbrio Operacional = R$6.000,00</w:t>
      </w:r>
    </w:p>
    <w:p w:rsidR="00000000" w:rsidDel="00000000" w:rsidP="00000000" w:rsidRDefault="00000000" w:rsidRPr="00000000" w14:paraId="000000B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que Felipe precisa faturar R$6.000,00 para cobrir suas despesas fixas e ainda alcançar o lucro mínimo desejado.</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1"/>
          <w:numId w:val="2"/>
        </w:numPr>
        <w:spacing w:line="360" w:lineRule="auto"/>
        <w:ind w:left="1440" w:hanging="360"/>
        <w:jc w:val="both"/>
        <w:rPr/>
      </w:pPr>
      <w:r w:rsidDel="00000000" w:rsidR="00000000" w:rsidRPr="00000000">
        <w:rPr>
          <w:rFonts w:ascii="Times New Roman" w:cs="Times New Roman" w:eastAsia="Times New Roman" w:hAnsi="Times New Roman"/>
          <w:b w:val="1"/>
          <w:bCs w:val="1"/>
          <w:sz w:val="24"/>
          <w:szCs w:val="24"/>
          <w:rtl w:val="0"/>
        </w:rPr>
        <w:t xml:space="preserve">Ponto de Equilíbrio Contábil</w: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cálculo considera apenas os Custos e Despesas Fixas e divide pela Margem de Contribuição.</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Fórmula:</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B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 = Custos e Despesas Fixas ÷ Margem de Contribuição</w:t>
            </w:r>
            <w:r w:rsidDel="00000000" w:rsidR="00000000" w:rsidRPr="00000000">
              <w:rPr>
                <w:rtl w:val="0"/>
              </w:rPr>
            </w:r>
          </w:p>
        </w:tc>
      </w:tr>
    </w:tbl>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p w:rsidR="00000000" w:rsidDel="00000000" w:rsidP="00000000" w:rsidRDefault="00000000" w:rsidRPr="00000000" w14:paraId="000000B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 = R$ 3.000,00 ÷ 0,5</w:t>
      </w:r>
    </w:p>
    <w:p w:rsidR="00000000" w:rsidDel="00000000" w:rsidP="00000000" w:rsidRDefault="00000000" w:rsidRPr="00000000" w14:paraId="000000B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 = R$ 6.000,00</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que Felipe precisa faturar R$6.000,00 para cobrir todos os custos e despesas fixas e não ter lucro ou prejuízo.</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numPr>
          <w:ilvl w:val="1"/>
          <w:numId w:val="2"/>
        </w:numPr>
        <w:spacing w:line="360" w:lineRule="auto"/>
        <w:ind w:left="1440" w:hanging="360"/>
        <w:jc w:val="both"/>
        <w:rPr/>
      </w:pPr>
      <w:r w:rsidDel="00000000" w:rsidR="00000000" w:rsidRPr="00000000">
        <w:rPr>
          <w:rFonts w:ascii="Times New Roman" w:cs="Times New Roman" w:eastAsia="Times New Roman" w:hAnsi="Times New Roman"/>
          <w:b w:val="1"/>
          <w:bCs w:val="1"/>
          <w:sz w:val="24"/>
          <w:szCs w:val="24"/>
          <w:rtl w:val="0"/>
        </w:rPr>
        <w:t xml:space="preserve">Ponto de Equilíbrio Financeiro</w:t>
      </w: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consideramos apenas os custos e despesas que requerem desembolso efetivo, ou seja, excluímos Custos e Despesas Não Desembolsáveis (por exemplo, depreciação).</w:t>
      </w:r>
    </w:p>
    <w:p w:rsidR="00000000" w:rsidDel="00000000" w:rsidP="00000000" w:rsidRDefault="00000000" w:rsidRPr="00000000" w14:paraId="000000C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Fórmula:</w:t>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C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 (Custos e Despesas Fixas - Custos e Despesas Não Desembolsáveis) ÷ Margem de Contribuição</w:t>
            </w:r>
          </w:p>
        </w:tc>
      </w:tr>
    </w:tbl>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p w:rsidR="00000000" w:rsidDel="00000000" w:rsidP="00000000" w:rsidRDefault="00000000" w:rsidRPr="00000000" w14:paraId="000000C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 (R$ 3.000,00 - R$ 500,00) ÷ 0,5</w:t>
      </w:r>
    </w:p>
    <w:p w:rsidR="00000000" w:rsidDel="00000000" w:rsidP="00000000" w:rsidRDefault="00000000" w:rsidRPr="00000000" w14:paraId="000000C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 R$ 2.500,00 ÷ 0,5</w:t>
      </w:r>
    </w:p>
    <w:p w:rsidR="00000000" w:rsidDel="00000000" w:rsidP="00000000" w:rsidRDefault="00000000" w:rsidRPr="00000000" w14:paraId="000000C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 R$ 5.000,00</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que Felipe precisa faturar R$5.000,00 para cobrir os custos e despesas que exigem desembolso efetivo.</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numPr>
          <w:ilvl w:val="1"/>
          <w:numId w:val="2"/>
        </w:numPr>
        <w:spacing w:line="360" w:lineRule="auto"/>
        <w:ind w:left="1440" w:hanging="360"/>
        <w:jc w:val="both"/>
        <w:rPr/>
      </w:pPr>
      <w:r w:rsidDel="00000000" w:rsidR="00000000" w:rsidRPr="00000000">
        <w:rPr>
          <w:rFonts w:ascii="Times New Roman" w:cs="Times New Roman" w:eastAsia="Times New Roman" w:hAnsi="Times New Roman"/>
          <w:b w:val="1"/>
          <w:bCs w:val="1"/>
          <w:sz w:val="24"/>
          <w:szCs w:val="24"/>
          <w:rtl w:val="0"/>
        </w:rPr>
        <w:t xml:space="preserve">Ponto de Equilíbrio Econômico</w:t>
      </w: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caso, além de cobrir os custos e despesas fixas, considera-se a margem de lucro mínima desejada (neste exemplo, R$1.000,00).</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Fórmula:</w:t>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0D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 (Custos e Despesas Fixas + Lucro Mínimo) ÷ Margem de Contribuição</w:t>
            </w:r>
          </w:p>
        </w:tc>
      </w:tr>
    </w:tbl>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os valores:</w:t>
      </w:r>
    </w:p>
    <w:p w:rsidR="00000000" w:rsidDel="00000000" w:rsidP="00000000" w:rsidRDefault="00000000" w:rsidRPr="00000000" w14:paraId="000000D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 (R$ 3.000,00 + R$ 1.000,00) ÷ 0,5</w:t>
      </w:r>
    </w:p>
    <w:p w:rsidR="00000000" w:rsidDel="00000000" w:rsidP="00000000" w:rsidRDefault="00000000" w:rsidRPr="00000000" w14:paraId="000000D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 R$ 4.000,00 ÷ 0,5</w:t>
      </w:r>
    </w:p>
    <w:p w:rsidR="00000000" w:rsidDel="00000000" w:rsidP="00000000" w:rsidRDefault="00000000" w:rsidRPr="00000000" w14:paraId="000000D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 R$ 8.000,00</w:t>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que Felipe precisa faturar R$8.000,00 para cobrir suas despesas fixas e ainda alcançar o lucro mínimo desejado.</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dos Resultados:</w:t>
      </w:r>
    </w:p>
    <w:p w:rsidR="00000000" w:rsidDel="00000000" w:rsidP="00000000" w:rsidRDefault="00000000" w:rsidRPr="00000000" w14:paraId="000000DF">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Operacional: R$ 6.000,00 </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Contábil: R$ 6.000,00</w:t>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Financeiro: R$ 5.000,00</w:t>
      </w:r>
    </w:p>
    <w:p w:rsidR="00000000" w:rsidDel="00000000" w:rsidP="00000000" w:rsidRDefault="00000000" w:rsidRPr="00000000" w14:paraId="000000E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Ponto de Equilíbrio Econômico: R$ 8.000,00</w:t>
      </w:r>
      <w:r w:rsidDel="00000000" w:rsidR="00000000" w:rsidRPr="00000000">
        <w:rPr>
          <w:rtl w:val="0"/>
        </w:rPr>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cálculos mostram a importância de cada tipo de ponto de equilíbrio para diferentes perspectivas financeiras.</w:t>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o ponto de equilíbrio é um indicador relevante para a tomada de decisões estratégicas, permitindo ao gestor definir metas de vendas realistas e identificar os ajustes necessários para alcançar a sustentabilidade financeira. Além disso, ele oferece uma visão clara da relação entre receitas, custos e despesas, ajudando a manter o controle financeiro da empresa, observe o quadro abaixo indicando os tipos de ponto de equilíbrio:</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Quadro 1 - Ponto de equilíbrio</w:t>
      </w:r>
    </w:p>
    <w:tbl>
      <w:tblPr>
        <w:tblStyle w:val="Table18"/>
        <w:tblW w:w="10155.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530"/>
        <w:gridCol w:w="3420"/>
        <w:gridCol w:w="1950"/>
        <w:gridCol w:w="1590"/>
        <w:tblGridChange w:id="0">
          <w:tblGrid>
            <w:gridCol w:w="1665"/>
            <w:gridCol w:w="1530"/>
            <w:gridCol w:w="3420"/>
            <w:gridCol w:w="1950"/>
            <w:gridCol w:w="1590"/>
          </w:tblGrid>
        </w:tblGridChange>
      </w:tblGrid>
      <w:tr>
        <w:trPr>
          <w:cantSplit w:val="0"/>
          <w:trHeight w:val="1163.90625" w:hRule="atLeast"/>
          <w:tblHeader w:val="0"/>
        </w:trPr>
        <w:tc>
          <w:tcPr/>
          <w:p w:rsidR="00000000" w:rsidDel="00000000" w:rsidP="00000000" w:rsidRDefault="00000000" w:rsidRPr="00000000" w14:paraId="000000E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Tipo de Ponto de Equilíbrio</w:t>
            </w:r>
          </w:p>
        </w:tc>
        <w:tc>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 Custos Fixos?</w:t>
            </w:r>
          </w:p>
        </w:tc>
        <w:tc>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 Custos Variáveis?</w:t>
            </w:r>
          </w:p>
        </w:tc>
        <w:tc>
          <w:tcPr/>
          <w:p w:rsidR="00000000" w:rsidDel="00000000" w:rsidP="00000000" w:rsidRDefault="00000000" w:rsidRPr="00000000" w14:paraId="000000E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Exclui Custos Não Desembolsáveis?</w:t>
            </w:r>
          </w:p>
        </w:tc>
        <w:tc>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Inclui Meta de Lucro?</w:t>
            </w:r>
          </w:p>
        </w:tc>
      </w:tr>
      <w:tr>
        <w:trPr>
          <w:cantSplit w:val="0"/>
          <w:tblHeader w:val="0"/>
        </w:trPr>
        <w:tc>
          <w:tcPr/>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Operacional</w:t>
            </w:r>
          </w:p>
        </w:tc>
        <w:tc>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r>
      <w:tr>
        <w:trPr>
          <w:cantSplit w:val="0"/>
          <w:tblHeader w:val="0"/>
        </w:trPr>
        <w:tc>
          <w:tcPr/>
          <w:p w:rsidR="00000000" w:rsidDel="00000000" w:rsidP="00000000" w:rsidRDefault="00000000" w:rsidRPr="00000000" w14:paraId="000000F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Contábil</w:t>
            </w:r>
            <w:r w:rsidDel="00000000" w:rsidR="00000000" w:rsidRPr="00000000">
              <w:rPr>
                <w:rtl w:val="0"/>
              </w:rPr>
            </w:r>
          </w:p>
        </w:tc>
        <w:tc>
          <w:tcPr/>
          <w:p w:rsidR="00000000" w:rsidDel="00000000" w:rsidP="00000000" w:rsidRDefault="00000000" w:rsidRPr="00000000" w14:paraId="000000F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w:t>
            </w:r>
            <w:r w:rsidDel="00000000" w:rsidR="00000000" w:rsidRPr="00000000">
              <w:rPr>
                <w:rtl w:val="0"/>
              </w:rPr>
            </w:r>
          </w:p>
        </w:tc>
        <w:tc>
          <w:tcPr/>
          <w:p w:rsidR="00000000" w:rsidDel="00000000" w:rsidP="00000000" w:rsidRDefault="00000000" w:rsidRPr="00000000" w14:paraId="000000F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 (indiretamente, via margem)</w:t>
            </w:r>
            <w:r w:rsidDel="00000000" w:rsidR="00000000" w:rsidRPr="00000000">
              <w:rPr>
                <w:rtl w:val="0"/>
              </w:rPr>
            </w:r>
          </w:p>
        </w:tc>
        <w:tc>
          <w:tcPr/>
          <w:p w:rsidR="00000000" w:rsidDel="00000000" w:rsidP="00000000" w:rsidRDefault="00000000" w:rsidRPr="00000000" w14:paraId="000000F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w:t>
            </w:r>
            <w:r w:rsidDel="00000000" w:rsidR="00000000" w:rsidRPr="00000000">
              <w:rPr>
                <w:rtl w:val="0"/>
              </w:rPr>
            </w:r>
          </w:p>
        </w:tc>
        <w:tc>
          <w:tcPr/>
          <w:p w:rsidR="00000000" w:rsidDel="00000000" w:rsidP="00000000" w:rsidRDefault="00000000" w:rsidRPr="00000000" w14:paraId="000000F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w:t>
            </w:r>
            <w:r w:rsidDel="00000000" w:rsidR="00000000" w:rsidRPr="00000000">
              <w:rPr>
                <w:rtl w:val="0"/>
              </w:rPr>
            </w:r>
          </w:p>
        </w:tc>
      </w:tr>
      <w:tr>
        <w:trPr>
          <w:cantSplit w:val="0"/>
          <w:tblHeader w:val="0"/>
        </w:trPr>
        <w:tc>
          <w:tcPr/>
          <w:p w:rsidR="00000000" w:rsidDel="00000000" w:rsidP="00000000" w:rsidRDefault="00000000" w:rsidRPr="00000000" w14:paraId="000000F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Financeiro</w:t>
            </w:r>
            <w:r w:rsidDel="00000000" w:rsidR="00000000" w:rsidRPr="00000000">
              <w:rPr>
                <w:rtl w:val="0"/>
              </w:rPr>
            </w:r>
          </w:p>
        </w:tc>
        <w:tc>
          <w:tcPr/>
          <w:p w:rsidR="00000000" w:rsidDel="00000000" w:rsidP="00000000" w:rsidRDefault="00000000" w:rsidRPr="00000000" w14:paraId="000000F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w:t>
            </w:r>
            <w:r w:rsidDel="00000000" w:rsidR="00000000" w:rsidRPr="00000000">
              <w:rPr>
                <w:rtl w:val="0"/>
              </w:rPr>
            </w:r>
          </w:p>
        </w:tc>
        <w:tc>
          <w:tcPr/>
          <w:p w:rsidR="00000000" w:rsidDel="00000000" w:rsidP="00000000" w:rsidRDefault="00000000" w:rsidRPr="00000000" w14:paraId="000000F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 (indiretamente, via margem)</w:t>
            </w:r>
            <w:r w:rsidDel="00000000" w:rsidR="00000000" w:rsidRPr="00000000">
              <w:rPr>
                <w:rtl w:val="0"/>
              </w:rPr>
            </w:r>
          </w:p>
        </w:tc>
        <w:tc>
          <w:tcPr/>
          <w:p w:rsidR="00000000" w:rsidDel="00000000" w:rsidP="00000000" w:rsidRDefault="00000000" w:rsidRPr="00000000" w14:paraId="000000F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w:t>
            </w:r>
            <w:r w:rsidDel="00000000" w:rsidR="00000000" w:rsidRPr="00000000">
              <w:rPr>
                <w:rtl w:val="0"/>
              </w:rPr>
            </w:r>
          </w:p>
        </w:tc>
        <w:tc>
          <w:tcPr/>
          <w:p w:rsidR="00000000" w:rsidDel="00000000" w:rsidP="00000000" w:rsidRDefault="00000000" w:rsidRPr="00000000" w14:paraId="000000F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w:t>
            </w:r>
            <w:r w:rsidDel="00000000" w:rsidR="00000000" w:rsidRPr="00000000">
              <w:rPr>
                <w:rtl w:val="0"/>
              </w:rPr>
            </w:r>
          </w:p>
        </w:tc>
      </w:tr>
      <w:tr>
        <w:trPr>
          <w:cantSplit w:val="0"/>
          <w:tblHeader w:val="0"/>
        </w:trPr>
        <w:tc>
          <w:tcPr/>
          <w:p w:rsidR="00000000" w:rsidDel="00000000" w:rsidP="00000000" w:rsidRDefault="00000000" w:rsidRPr="00000000" w14:paraId="000000F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Econômico</w:t>
            </w:r>
            <w:r w:rsidDel="00000000" w:rsidR="00000000" w:rsidRPr="00000000">
              <w:rPr>
                <w:rtl w:val="0"/>
              </w:rPr>
            </w:r>
          </w:p>
        </w:tc>
        <w:tc>
          <w:tcPr/>
          <w:p w:rsidR="00000000" w:rsidDel="00000000" w:rsidP="00000000" w:rsidRDefault="00000000" w:rsidRPr="00000000" w14:paraId="000000F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w:t>
            </w:r>
            <w:r w:rsidDel="00000000" w:rsidR="00000000" w:rsidRPr="00000000">
              <w:rPr>
                <w:rtl w:val="0"/>
              </w:rPr>
            </w:r>
          </w:p>
        </w:tc>
        <w:tc>
          <w:tcPr/>
          <w:p w:rsidR="00000000" w:rsidDel="00000000" w:rsidP="00000000" w:rsidRDefault="00000000" w:rsidRPr="00000000" w14:paraId="000000F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 (indiretamente, via margem)</w:t>
            </w:r>
            <w:r w:rsidDel="00000000" w:rsidR="00000000" w:rsidRPr="00000000">
              <w:rPr>
                <w:rtl w:val="0"/>
              </w:rPr>
            </w:r>
          </w:p>
        </w:tc>
        <w:tc>
          <w:tcPr/>
          <w:p w:rsidR="00000000" w:rsidDel="00000000" w:rsidP="00000000" w:rsidRDefault="00000000" w:rsidRPr="00000000" w14:paraId="000000F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Não</w:t>
            </w:r>
            <w:r w:rsidDel="00000000" w:rsidR="00000000" w:rsidRPr="00000000">
              <w:rPr>
                <w:rtl w:val="0"/>
              </w:rPr>
            </w:r>
          </w:p>
        </w:tc>
        <w:tc>
          <w:tcPr/>
          <w:p w:rsidR="00000000" w:rsidDel="00000000" w:rsidP="00000000" w:rsidRDefault="00000000" w:rsidRPr="00000000" w14:paraId="000000F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w:t>
            </w:r>
            <w:r w:rsidDel="00000000" w:rsidR="00000000" w:rsidRPr="00000000">
              <w:rPr>
                <w:rtl w:val="0"/>
              </w:rPr>
            </w:r>
          </w:p>
        </w:tc>
      </w:tr>
    </w:tbl>
    <w:p w:rsidR="00000000" w:rsidDel="00000000" w:rsidP="00000000" w:rsidRDefault="00000000" w:rsidRPr="00000000" w14:paraId="00000100">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Elaboração própria (2024)</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cálculos, a quantidade de produtos que Felipe precisa vender para cada tipo de Ponto de Equilíbrio, considerando o preço de venda de R$7.000 é de um produto, exceto o ponto de equilíbrio econômico que precisa de dois produtos para atingir o mínimo de R$8.000.</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Tabela 1 - Quantidade de Produtos Necessários para Alcançar os Tipos de Ponto de Equilíbrio</w:t>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105"/>
        <w:gridCol w:w="2895"/>
        <w:tblGridChange w:id="0">
          <w:tblGrid>
            <w:gridCol w:w="3000"/>
            <w:gridCol w:w="3105"/>
            <w:gridCol w:w="2895"/>
          </w:tblGrid>
        </w:tblGridChange>
      </w:tblGrid>
      <w:tr>
        <w:trPr>
          <w:cantSplit w:val="0"/>
          <w:tblHeader w:val="0"/>
        </w:trPr>
        <w:tc>
          <w:tcPr/>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Ponto de Equilíbrio</w:t>
            </w:r>
          </w:p>
        </w:tc>
        <w:tc>
          <w:tcPr/>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Faturamento Necessário (R$)</w:t>
            </w:r>
          </w:p>
        </w:tc>
        <w:tc>
          <w:tcPr/>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Produtos Necessários</w:t>
            </w:r>
          </w:p>
        </w:tc>
      </w:tr>
      <w:tr>
        <w:trPr>
          <w:cantSplit w:val="0"/>
          <w:tblHeader w:val="0"/>
        </w:trPr>
        <w:tc>
          <w:tcPr/>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Contábil</w:t>
            </w:r>
          </w:p>
        </w:tc>
        <w:tc>
          <w:tcPr/>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R$ 6.000,00</w:t>
            </w:r>
          </w:p>
        </w:tc>
        <w:tc>
          <w:tcPr/>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produto</w:t>
            </w:r>
          </w:p>
        </w:tc>
      </w:tr>
      <w:tr>
        <w:trPr>
          <w:cantSplit w:val="0"/>
          <w:tblHeader w:val="0"/>
        </w:trPr>
        <w:tc>
          <w:tcPr/>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Financeiro</w:t>
            </w:r>
          </w:p>
        </w:tc>
        <w:tc>
          <w:tcPr/>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R$ 5.000,00</w:t>
            </w:r>
          </w:p>
        </w:tc>
        <w:tc>
          <w:tcPr/>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produto</w:t>
            </w:r>
          </w:p>
        </w:tc>
      </w:tr>
      <w:tr>
        <w:trPr>
          <w:cantSplit w:val="0"/>
          <w:tblHeader w:val="0"/>
        </w:trPr>
        <w:tc>
          <w:tcPr/>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Econômico</w:t>
            </w:r>
          </w:p>
        </w:tc>
        <w:tc>
          <w:tcPr/>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R$ 8.000,00</w:t>
            </w:r>
          </w:p>
        </w:tc>
        <w:tc>
          <w:tcPr/>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produtos</w:t>
            </w:r>
          </w:p>
        </w:tc>
      </w:tr>
      <w:tr>
        <w:trPr>
          <w:cantSplit w:val="0"/>
          <w:tblHeader w:val="0"/>
        </w:trPr>
        <w:tc>
          <w:tcPr/>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Operacional</w:t>
            </w:r>
          </w:p>
        </w:tc>
        <w:tc>
          <w:tcPr/>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R$ 6.000,00</w:t>
            </w:r>
          </w:p>
        </w:tc>
        <w:tc>
          <w:tcPr/>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produto</w:t>
            </w:r>
          </w:p>
        </w:tc>
      </w:tr>
    </w:tbl>
    <w:p w:rsidR="00000000" w:rsidDel="00000000" w:rsidP="00000000" w:rsidRDefault="00000000" w:rsidRPr="00000000" w14:paraId="0000011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Elaboração Própria (2024).</w:t>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pvqa4qjal6lz" w:id="10"/>
      <w:bookmarkEnd w:id="10"/>
      <w:r w:rsidDel="00000000" w:rsidR="00000000" w:rsidRPr="00000000">
        <w:rPr>
          <w:rtl w:val="0"/>
        </w:rPr>
        <w:t xml:space="preserve">CUSTO ALVO (TARGET COST)</w:t>
      </w: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maioria dos pequenos empresários ainda não compreende claramente a importância de identificar, mensurar e controlar seus custos. Consequentemente, muitos não consideram adequadamente esses fatores ao estabelecer o preço de venda de seus produtos (Bedê, 2005). Em muitos casos, o preço de venda é definido de forma empírica, com base nos preços da concorrência, sem uma análise detalhada dos custos e com uma margem de lucro arbitrariamente definida (Bertó; Beulke, 2006).</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Horngren, Datar e Rajan (2023), existem duas abordagens principais para decisões de precificação: a precificação com base em custos, que inclui uma margem de lucro sobre os custos, e a precificação com base no mercado. Algumas empresas analisam seus custos antes de observar os concorrentes e clientes, enquanto outras partem dos preços de mercado e ajustam seus custos para maximizar a lucratividade, o que fundamenta o método do Custeio-Alvo (Faria; Freitas; Marion, 2008a).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do Custeio-Alvo, Sakurai (1997) descreve essa abordagem como um sistema estratégico voltado para a redução de custos durante o planejamento e desenvolvimento de produtos. Os principais objetivos são reduzir os custos totais  incluindo produção, despesas e tributos, manter a qualidade elevada e alinhar os lucros aos objetivos estratégicos. Cooper e Slagmulder (1997) destacam três características essenciais desse sistema: a) os custos são definidos pelo mercado; b) há uma integração organizacional para atingir os custos estabelecidos; e c) os custos e lucros são planejados para o longo prazo. Conforme detalha Faria, Freitas e Marion (2008), no método de Custeio-Alvo, o mercado define o preço de venda, e, ao subtrair uma margem de lucro desejada, obtém-se o custo máximo que a empresa deve perseguir, evitando desperdícios. Esse "custo máximo" engloba tributos sobre vendas, custos de produção e despesas administrativas, comerciais e financeiras. A fórmula básica pode ser expressa como: </w:t>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p w:rsidR="00000000" w:rsidDel="00000000" w:rsidP="00000000" w:rsidRDefault="00000000" w:rsidRPr="00000000" w14:paraId="0000011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Preço de Venda - Margem de Lucro Desejada = Custo Máximo (Alvo)</w:t>
            </w:r>
          </w:p>
        </w:tc>
      </w:tr>
    </w:tbl>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entender melhor essa filosofia de custo, foi aplicado o Custeio-Alvo em uma empresa que atua no segmento de plásticos, a "Empresa Alfa", fundada em 1999 e especializada em produtos recortados de Poliestireno Expandido (EPS), popularmente conhecido como isopor. A empresa fornece principalmente para a construção civil e também para o mercado de isolamento térmico e acústico (Faria; Freitas; Marion, 2008). </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apurar o Custo-Alvo, tomou-se como base os preços unitários de venda praticados no mercado, definidos pelos empreendedores a partir de uma análise da concorrência, e a quantidade média mensal negociada. Caso a análise fosse realizada na fase de P&amp;D, seria considerada uma quantidade prevista, prospectivamente aceitável pelo mercado. O preço de venda unitário multiplicado pela quantidade vendida gera a receita bruta de vendas (faturamento bruto). Em seguida, o empreendedor define a margem de lucro desejada, que é o percentual de retorno esperado. No caso dessa empresa, os proprietários definiram uma margem de lucro desejada de 10% sobre as operações realizadas (Faria; Freitas; Marion, 2008).</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essas informações, foi possível apurar o Custo-Alvo dos produtos da Empresa Alfa, conforme mostrado na Tabela 2.</w:t>
      </w:r>
    </w:p>
    <w:p w:rsidR="00000000" w:rsidDel="00000000" w:rsidP="00000000" w:rsidRDefault="00000000" w:rsidRPr="00000000" w14:paraId="000001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Tabela 2 – Cálculo do Custo Alvo</w:t>
      </w:r>
      <w:r w:rsidDel="00000000" w:rsidR="00000000" w:rsidRPr="00000000">
        <w:rPr>
          <w:rtl w:val="0"/>
        </w:rPr>
      </w:r>
    </w:p>
    <w:tbl>
      <w:tblPr>
        <w:tblStyle w:val="Table2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070"/>
        <w:gridCol w:w="2235"/>
        <w:gridCol w:w="2235"/>
        <w:tblGridChange w:id="0">
          <w:tblGrid>
            <w:gridCol w:w="2400"/>
            <w:gridCol w:w="2070"/>
            <w:gridCol w:w="2235"/>
            <w:gridCol w:w="2235"/>
          </w:tblGrid>
        </w:tblGridChange>
      </w:tblGrid>
      <w:tr>
        <w:trPr>
          <w:cantSplit w:val="0"/>
          <w:trHeight w:val="425.9765625" w:hRule="atLeast"/>
          <w:tblHeader w:val="0"/>
        </w:trPr>
        <w:tc>
          <w:tcPr>
            <w:shd w:fill="cccccc" w:val="clear"/>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Descrição</w:t>
            </w:r>
          </w:p>
        </w:tc>
        <w:tc>
          <w:tcPr>
            <w:shd w:fill="cccccc" w:val="clear"/>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shd w:fill="cccccc" w:val="clear"/>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Isotelha</w:t>
            </w:r>
          </w:p>
        </w:tc>
        <w:tc>
          <w:tcPr>
            <w:shd w:fill="cccccc" w:val="clear"/>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Placa</w:t>
            </w:r>
          </w:p>
        </w:tc>
      </w:tr>
      <w:tr>
        <w:trPr>
          <w:cantSplit w:val="0"/>
          <w:tblHeader w:val="0"/>
        </w:trPr>
        <w:tc>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Preço de venda (Unid)</w:t>
            </w:r>
          </w:p>
        </w:tc>
        <w:tc>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R$6,38</w:t>
            </w:r>
          </w:p>
        </w:tc>
        <w:tc>
          <w:tcPr/>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R$4,83</w:t>
            </w:r>
          </w:p>
        </w:tc>
      </w:tr>
      <w:tr>
        <w:trPr>
          <w:cantSplit w:val="0"/>
          <w:tblHeader w:val="0"/>
        </w:trPr>
        <w:tc>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 mensal (Peças)</w:t>
            </w:r>
          </w:p>
        </w:tc>
        <w:tc>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R$20.993</w:t>
            </w:r>
          </w:p>
        </w:tc>
        <w:tc>
          <w:tcPr/>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R$17.590</w:t>
            </w:r>
          </w:p>
        </w:tc>
      </w:tr>
      <w:tr>
        <w:trPr>
          <w:cantSplit w:val="0"/>
          <w:trHeight w:val="746.953125" w:hRule="atLeast"/>
          <w:tblHeader w:val="0"/>
        </w:trPr>
        <w:tc>
          <w:tcPr/>
          <w:p w:rsidR="00000000" w:rsidDel="00000000" w:rsidP="00000000" w:rsidRDefault="00000000" w:rsidRPr="00000000" w14:paraId="0000012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Faturamento bruto a vista</w:t>
            </w:r>
          </w:p>
        </w:tc>
        <w:tc>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R$218.894</w:t>
            </w:r>
          </w:p>
        </w:tc>
        <w:tc>
          <w:tcPr/>
          <w:p w:rsidR="00000000" w:rsidDel="00000000" w:rsidP="00000000" w:rsidRDefault="00000000" w:rsidRPr="00000000" w14:paraId="000001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R$133.936</w:t>
            </w:r>
          </w:p>
        </w:tc>
        <w:tc>
          <w:tcPr/>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R$84.958</w:t>
            </w:r>
          </w:p>
        </w:tc>
      </w:tr>
      <w:tr>
        <w:trPr>
          <w:cantSplit w:val="0"/>
          <w:tblHeader w:val="0"/>
        </w:trPr>
        <w:tc>
          <w:tcPr/>
          <w:p w:rsidR="00000000" w:rsidDel="00000000" w:rsidP="00000000" w:rsidRDefault="00000000" w:rsidRPr="00000000" w14:paraId="0000013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Margem de lucro desejada (10%)</w:t>
            </w:r>
          </w:p>
        </w:tc>
        <w:tc>
          <w:tcPr/>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R$21.890</w:t>
            </w:r>
          </w:p>
        </w:tc>
        <w:tc>
          <w:tcPr/>
          <w:p w:rsidR="00000000" w:rsidDel="00000000" w:rsidP="00000000" w:rsidRDefault="00000000" w:rsidRPr="00000000" w14:paraId="000001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R$13.394</w:t>
            </w:r>
          </w:p>
        </w:tc>
        <w:tc>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R$8.496</w:t>
            </w:r>
          </w:p>
        </w:tc>
      </w:tr>
      <w:tr>
        <w:trPr>
          <w:cantSplit w:val="0"/>
          <w:trHeight w:val="410.9765625" w:hRule="atLeast"/>
          <w:tblHeader w:val="0"/>
        </w:trPr>
        <w:tc>
          <w:tcPr>
            <w:shd w:fill="cccccc" w:val="clear"/>
          </w:tcPr>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 ALVO</w:t>
            </w:r>
          </w:p>
        </w:tc>
        <w:tc>
          <w:tcPr>
            <w:shd w:fill="cccccc" w:val="clear"/>
          </w:tcPr>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R$197.004</w:t>
            </w:r>
          </w:p>
        </w:tc>
        <w:tc>
          <w:tcPr>
            <w:shd w:fill="cccccc" w:val="clear"/>
          </w:tcPr>
          <w:p w:rsidR="00000000" w:rsidDel="00000000" w:rsidP="00000000" w:rsidRDefault="00000000" w:rsidRPr="00000000" w14:paraId="000001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R$120.542</w:t>
            </w:r>
          </w:p>
        </w:tc>
        <w:tc>
          <w:tcPr>
            <w:shd w:fill="cccccc" w:val="clear"/>
          </w:tcPr>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R$76.462</w:t>
            </w:r>
          </w:p>
        </w:tc>
      </w:tr>
    </w:tbl>
    <w:p w:rsidR="00000000" w:rsidDel="00000000" w:rsidP="00000000" w:rsidRDefault="00000000" w:rsidRPr="00000000" w14:paraId="0000013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Faria, Freitas e Marion (2008).</w:t>
      </w:r>
    </w:p>
    <w:p w:rsidR="00000000" w:rsidDel="00000000" w:rsidP="00000000" w:rsidRDefault="00000000" w:rsidRPr="00000000" w14:paraId="000001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cálculo considerou os produtos "Isotelha" e "Placa Isotérmica". O faturamento bruto à vista foi calculado com base no preço de venda e na quantidade vendida, subtraindo-se a margem de lucro desejada de 10%. Assim, o custo máximo para os produtos foi determinado como R$120.542,00 para o produto Isotelha e R$76.462,00 para o produto Placa Isotérmica. Esses valores representam os custos-alvo que os produtos deveriam atingir para cumprir a margem de lucro esperada.</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Diferentemente da fase de P&amp;D, onde toda a empresa deve se mobilizar para reduzir custos antes mesmo de os produtos entrarem em operação, no caso analisado, os produtos já estão sendo comercializados no mercado. Assim, optou-se por apurar os gastos atuais da empresa por produto, visando identificar os valores que precisam ser reduzidos para atingir os custos-alvo. Foram considerados todos os gastos incorridos nas operações de produção e comercialização, bem como despesas administrativas e financeiras (Faria; Freitas; Marion, 2008).</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percentuais dos tributos incidentes sobre vendas foram obtidos com o contador terceirizado da empresa. As despesas atuais foram baseadas nos controles gerenciais dos sócios-empreendedores, que também possuíam registros de consumo de matérias-primas, embalagens, mão-de-obra direta (MOD) e custos indiretos de fabricação (CIF), embora não discriminados por produto (Faria; Freitas; Marion, 2008).</w:t>
      </w:r>
    </w:p>
    <w:p w:rsidR="00000000" w:rsidDel="00000000" w:rsidP="00000000" w:rsidRDefault="00000000" w:rsidRPr="00000000" w14:paraId="000001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gastos totais por produto e a necessidade de redução para atingir o custo-alvo estão detalhados na Figura 1. Observou-se que os gastos atuais representam 91,2% do faturamento bruto da empresa. Ambos os produtos apresentaram valores positivos, indicando que os gastos totais atuais são maiores que os custos-alvo. O valor total a ser reduzido foi de R$2.783,00 sendo R$1.419,00 referente ao produto Isotelha e R$1.364,00 referente à Placa Isotérmica. Essa diferença reflete a necessidade de revisão de custos e despesas para atingir os valores-alvo.</w:t>
      </w:r>
    </w:p>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Tabela 3 - Tributos e valores</w:t>
      </w: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740"/>
        <w:gridCol w:w="1800"/>
        <w:gridCol w:w="1800"/>
        <w:gridCol w:w="1800"/>
        <w:tblGridChange w:id="0">
          <w:tblGrid>
            <w:gridCol w:w="1860"/>
            <w:gridCol w:w="1740"/>
            <w:gridCol w:w="1800"/>
            <w:gridCol w:w="1800"/>
            <w:gridCol w:w="1800"/>
          </w:tblGrid>
        </w:tblGridChange>
      </w:tblGrid>
      <w:tr>
        <w:trPr>
          <w:cantSplit w:val="0"/>
          <w:tblHeader w:val="0"/>
        </w:trPr>
        <w:tc>
          <w:tcPr>
            <w:tcBorders>
              <w:top w:color="44b3e1" w:space="0" w:sz="4" w:val="single"/>
              <w:left w:color="44b3e1" w:space="0" w:sz="4" w:val="single"/>
              <w:bottom w:color="44b3e1" w:space="0" w:sz="4" w:val="single"/>
            </w:tcBorders>
            <w:shd w:fill="156082" w:val="clear"/>
            <w:tcMar>
              <w:top w:w="0.0" w:type="dxa"/>
              <w:left w:w="70.0" w:type="dxa"/>
              <w:bottom w:w="0.0" w:type="dxa"/>
              <w:right w:w="70.0" w:type="dxa"/>
            </w:tcMar>
            <w:vAlign w:val="bottom"/>
          </w:tcPr>
          <w:p w:rsidR="00000000" w:rsidDel="00000000" w:rsidP="00000000" w:rsidRDefault="00000000" w:rsidRPr="00000000" w14:paraId="00000148">
            <w:pPr>
              <w:spacing w:line="240" w:lineRule="auto"/>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bCs w:val="1"/>
                <w:color w:val="ffffff"/>
                <w:sz w:val="20"/>
                <w:szCs w:val="20"/>
                <w:rtl w:val="0"/>
              </w:rPr>
              <w:t xml:space="preserve">COMPOSISÃO DOS GASTOS ATUAIS</w:t>
            </w:r>
            <w:r w:rsidDel="00000000" w:rsidR="00000000" w:rsidRPr="00000000">
              <w:rPr>
                <w:rtl w:val="0"/>
              </w:rPr>
            </w:r>
          </w:p>
        </w:tc>
        <w:tc>
          <w:tcPr>
            <w:tcBorders>
              <w:top w:color="44b3e1" w:space="0" w:sz="4" w:val="single"/>
              <w:bottom w:color="44b3e1" w:space="0" w:sz="4" w:val="single"/>
            </w:tcBorders>
            <w:shd w:fill="156082" w:val="clear"/>
            <w:tcMar>
              <w:top w:w="0.0" w:type="dxa"/>
              <w:left w:w="70.0" w:type="dxa"/>
              <w:bottom w:w="0.0" w:type="dxa"/>
              <w:right w:w="70.0" w:type="dxa"/>
            </w:tcMar>
            <w:vAlign w:val="bottom"/>
          </w:tcPr>
          <w:p w:rsidR="00000000" w:rsidDel="00000000" w:rsidP="00000000" w:rsidRDefault="00000000" w:rsidRPr="00000000" w14:paraId="00000149">
            <w:pPr>
              <w:spacing w:line="240" w:lineRule="auto"/>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rtl w:val="0"/>
              </w:rPr>
              <w:t xml:space="preserve">PERCENTUAL</w:t>
            </w:r>
            <w:r w:rsidDel="00000000" w:rsidR="00000000" w:rsidRPr="00000000">
              <w:rPr>
                <w:rtl w:val="0"/>
              </w:rPr>
            </w:r>
          </w:p>
        </w:tc>
        <w:tc>
          <w:tcPr>
            <w:tcBorders>
              <w:top w:color="44b3e1" w:space="0" w:sz="4" w:val="single"/>
              <w:bottom w:color="44b3e1" w:space="0" w:sz="4" w:val="single"/>
            </w:tcBorders>
            <w:shd w:fill="156082" w:val="clear"/>
            <w:tcMar>
              <w:top w:w="0.0" w:type="dxa"/>
              <w:left w:w="70.0" w:type="dxa"/>
              <w:bottom w:w="0.0" w:type="dxa"/>
              <w:right w:w="70.0" w:type="dxa"/>
            </w:tcMar>
            <w:vAlign w:val="bottom"/>
          </w:tcPr>
          <w:p w:rsidR="00000000" w:rsidDel="00000000" w:rsidP="00000000" w:rsidRDefault="00000000" w:rsidRPr="00000000" w14:paraId="0000014A">
            <w:pPr>
              <w:spacing w:line="240" w:lineRule="auto"/>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rtl w:val="0"/>
              </w:rPr>
              <w:t xml:space="preserve"> TOTAL </w:t>
            </w:r>
            <w:r w:rsidDel="00000000" w:rsidR="00000000" w:rsidRPr="00000000">
              <w:rPr>
                <w:rtl w:val="0"/>
              </w:rPr>
            </w:r>
          </w:p>
        </w:tc>
        <w:tc>
          <w:tcPr>
            <w:tcBorders>
              <w:top w:color="44b3e1" w:space="0" w:sz="4" w:val="single"/>
              <w:bottom w:color="44b3e1" w:space="0" w:sz="4" w:val="single"/>
            </w:tcBorders>
            <w:shd w:fill="156082" w:val="clear"/>
            <w:tcMar>
              <w:top w:w="0.0" w:type="dxa"/>
              <w:left w:w="70.0" w:type="dxa"/>
              <w:bottom w:w="0.0" w:type="dxa"/>
              <w:right w:w="70.0" w:type="dxa"/>
            </w:tcMar>
            <w:vAlign w:val="bottom"/>
          </w:tcPr>
          <w:p w:rsidR="00000000" w:rsidDel="00000000" w:rsidP="00000000" w:rsidRDefault="00000000" w:rsidRPr="00000000" w14:paraId="0000014B">
            <w:pPr>
              <w:spacing w:line="240" w:lineRule="auto"/>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rtl w:val="0"/>
              </w:rPr>
              <w:t xml:space="preserve"> ISOTELHA </w:t>
            </w:r>
            <w:r w:rsidDel="00000000" w:rsidR="00000000" w:rsidRPr="00000000">
              <w:rPr>
                <w:rtl w:val="0"/>
              </w:rPr>
            </w:r>
          </w:p>
        </w:tc>
        <w:tc>
          <w:tcPr>
            <w:tcBorders>
              <w:top w:color="44b3e1" w:space="0" w:sz="4" w:val="single"/>
              <w:bottom w:color="44b3e1" w:space="0" w:sz="4" w:val="single"/>
              <w:right w:color="44b3e1" w:space="0" w:sz="4" w:val="single"/>
            </w:tcBorders>
            <w:shd w:fill="156082" w:val="clear"/>
            <w:tcMar>
              <w:top w:w="0.0" w:type="dxa"/>
              <w:left w:w="70.0" w:type="dxa"/>
              <w:bottom w:w="0.0" w:type="dxa"/>
              <w:right w:w="70.0" w:type="dxa"/>
            </w:tcMar>
            <w:vAlign w:val="bottom"/>
          </w:tcPr>
          <w:p w:rsidR="00000000" w:rsidDel="00000000" w:rsidP="00000000" w:rsidRDefault="00000000" w:rsidRPr="00000000" w14:paraId="0000014C">
            <w:pPr>
              <w:spacing w:line="240" w:lineRule="auto"/>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rtl w:val="0"/>
              </w:rPr>
              <w:t xml:space="preserve"> PLACA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Tributos Incidentes s/vendas (T)</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25,50%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R$ 55.817,00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R$ 34.153,00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R$ 21.664,00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SIMPLES</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7,50%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R$ 16.417,00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R$ 10.045,00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R$ 6.372,00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ICMS</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18%</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R$ 39.400,00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R$ 24.108,00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R$ 15.292,00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Despesas Atuais (D)</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13,80%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R$ 30.288,00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R$ 18.531,00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R$ 11.757,00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Frete sobre vendas</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3,80%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R$ 8.320,00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R$ 5.092,00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R$ 3.228,00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Despesas Administrativas</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6,20%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R$ 13.560,00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R$ 8.296,00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R$ 5.264,00 </w:t>
            </w:r>
            <w:r w:rsidDel="00000000" w:rsidR="00000000" w:rsidRPr="00000000">
              <w:rPr>
                <w:rtl w:val="0"/>
              </w:rPr>
            </w:r>
          </w:p>
        </w:tc>
      </w:tr>
      <w:tr>
        <w:trPr>
          <w:cantSplit w:val="0"/>
          <w:trHeight w:val="244.98046875" w:hRule="atLeast"/>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Despesas Comerciais</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1,60%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R$ 3.605,00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R$ 2.206,00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R$ 1.399,00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Despesas Financeiras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2,20%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R$ 4.803,00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R$ 2.937,00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R$ 1.866,00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Custos dos Produtos ( C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51,90%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R$ 113.682,00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R$ 69.277,00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R$ 44.405,00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 - Matéria-prima</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42,20%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R$ 92.327,00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R$ 55.212,00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R$ 37.115,00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B - Embalagem</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5,60%</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R$ 12.267,00 </w:t>
            </w: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R$ 8.397,00 </w:t>
            </w: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R$ 3.870,00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C - MOD+CIF</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4,10%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R$ 9.088,00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R$ 5.668,00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R$ 3.420,00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GASTOS ATUAIS (T+D+C)</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91,20%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R$ 199.787,00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R$ 121.961,00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R$ 77.826,00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CUSTO ALVO</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90%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R$ 197.004,00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R$ 120.542,00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R$ 76.462,00 </w:t>
            </w: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44b3e1" w:space="0" w:sz="4" w:val="single"/>
              <w:bottom w:color="44b3e1" w:space="0" w:sz="4" w:val="single"/>
              <w:right w:color="44b3e1" w:space="0" w:sz="4" w:val="single"/>
            </w:tcBorders>
            <w:shd w:fill="c0e6f5" w:val="clear"/>
            <w:tcMar>
              <w:top w:w="0.0" w:type="dxa"/>
              <w:left w:w="70.0" w:type="dxa"/>
              <w:bottom w:w="0.0" w:type="dxa"/>
              <w:right w:w="70.0" w:type="dxa"/>
            </w:tcMar>
            <w:vAlign w:val="bottom"/>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44b3e1" w:space="0" w:sz="4" w:val="single"/>
              <w:left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REDUÇÃO PARA ATINGIR ALVO</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1,20%</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R$ 2.783,00 </w:t>
            </w:r>
            <w:r w:rsidDel="00000000" w:rsidR="00000000" w:rsidRPr="00000000">
              <w:rPr>
                <w:rtl w:val="0"/>
              </w:rPr>
            </w:r>
          </w:p>
        </w:tc>
        <w:tc>
          <w:tcPr>
            <w:tcBorders>
              <w:top w:color="44b3e1" w:space="0" w:sz="4" w:val="single"/>
              <w:bottom w:color="44b3e1" w:space="0" w:sz="4" w:val="single"/>
            </w:tcBorders>
            <w:tcMar>
              <w:top w:w="0.0" w:type="dxa"/>
              <w:left w:w="70.0" w:type="dxa"/>
              <w:bottom w:w="0.0" w:type="dxa"/>
              <w:right w:w="70.0" w:type="dxa"/>
            </w:tcMar>
            <w:vAlign w:val="bottom"/>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R$ 1.419,00 </w:t>
            </w:r>
            <w:r w:rsidDel="00000000" w:rsidR="00000000" w:rsidRPr="00000000">
              <w:rPr>
                <w:rtl w:val="0"/>
              </w:rPr>
            </w:r>
          </w:p>
        </w:tc>
        <w:tc>
          <w:tcPr>
            <w:tcBorders>
              <w:top w:color="44b3e1" w:space="0" w:sz="4" w:val="single"/>
              <w:bottom w:color="44b3e1" w:space="0" w:sz="4" w:val="single"/>
              <w:right w:color="44b3e1" w:space="0" w:sz="4" w:val="single"/>
            </w:tcBorders>
            <w:tcMar>
              <w:top w:w="0.0" w:type="dxa"/>
              <w:left w:w="70.0" w:type="dxa"/>
              <w:bottom w:w="0.0" w:type="dxa"/>
              <w:right w:w="70.0" w:type="dxa"/>
            </w:tcMar>
            <w:vAlign w:val="bottom"/>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R$ 1.364,00 </w:t>
            </w:r>
            <w:r w:rsidDel="00000000" w:rsidR="00000000" w:rsidRPr="00000000">
              <w:rPr>
                <w:rtl w:val="0"/>
              </w:rPr>
            </w:r>
          </w:p>
        </w:tc>
      </w:tr>
    </w:tbl>
    <w:p w:rsidR="00000000" w:rsidDel="00000000" w:rsidP="00000000" w:rsidRDefault="00000000" w:rsidRPr="00000000" w14:paraId="000001B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Faria, Freitas e Marion (2008)</w:t>
      </w:r>
    </w:p>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redução necessária é considerada estratégica para os empreendedores. Esse valor pode ser positivo, negativo ou nulo. No caso da Empresa Alfa, a necessidade de redução indica que é preciso revisar detalhadamente os itens da composição de custos e despesas de cada produto. Possíveis ações incluem: (1) maximizar os esforços para reduzir os custos dos produtos; (2) atuar na redução das despesas gerenciáveis; (3) aceitar reduzir a margem de remuneração esperada; ou (4) implementar uma combinação dessas alternativas.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Observou-se que o maior componente do custo do produto é a matéria-prima, que representa 42,2% do faturamento. Contudo, devido à origem petroquímica do EPS, há dificuldades de negociação com fornecedores. Esse problema também se aplica às embalagens. Os custos com mão-de-obra direta e custos indiretos de fabricação, por outro lado, representam apenas 4,2% do faturamento, estando ajustados às necessidades da empresa. Caso seja feita uma análise mais aprofundada desses custos, por meio do método de Custeio Baseado em Atividades, é possível que alguns desperdícios sejam identificados. Porém, caso os custos-alvo não sejam atingidos, os empreendedores têm como principal alternativa reduzir a margem de lucro esperada.</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situação apresentada, não há muitas alternativas para redução de custos, e, não sendo possível alterar as alíquotas de tributos, a empresa deve buscar redução nas despesas administrativas, comerciais e financeiras. Caso essas medidas não sejam viáveis, será necessário repensar a fabricação e comercialização dos produtos, sob o risco de obter resultados insatisfatórios. O Sistema de Custeio-Alvo, quando aplicado a produtos já em operação, possibilita identificar a viabilidade da produção e comercialização, inclusive sob uma análise prospectiva. No caso da Empresa Alfa, a redução da margem de lucro para 8,7% foi considerada como a principal alternativa diante do contexto atual, já que os gastos atuais somam R$199.787, enquanto a receita bruta é de R$218.894. Essa margem foi calculada subtraindo-se os gastos de receita bruta e comparando o resultado com a receita bruta.</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a aplicação do Sistema de Custeio-Alvo, desenvolvido em conjunto com os sócios empreendedores da Empresa Alfa, forneceu informações úteis, acessíveis e estratégicas para a gestão do negócio. Essas informações permitiram aos empreendedores tomar decisões fundamentadas sobre a viabilidade de seus produtos no mercado, demonstrando o potencial inovador e estratégico do sistema para pequenos negócios (Faria; Freitas; Marion, 2008).</w:t>
      </w:r>
    </w:p>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vuh56z61j9rs" w:id="11"/>
      <w:bookmarkEnd w:id="11"/>
      <w:r w:rsidDel="00000000" w:rsidR="00000000" w:rsidRPr="00000000">
        <w:rPr>
          <w:rtl w:val="0"/>
        </w:rPr>
        <w:t xml:space="preserve">COMO O MEI PODE DEFINIR O SEU PREÇO DE VENDA</w:t>
      </w:r>
      <w:r w:rsidDel="00000000" w:rsidR="00000000" w:rsidRPr="00000000">
        <w:rPr>
          <w:rtl w:val="0"/>
        </w:rPr>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definição correta do preço de venda é um dos maiores desafios enfrentados pelos microempreendedores individuais (MEIs). Segundo Bruni e Famá (2021), existem três modelos principais de formação de preço. </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é a precificação com base no custo, que é o mais simples entre os três. Nesse modelo, o preço de venda é composto a partir dos custos que a empresa tem para oferecer determinado produto ou serviço, aplicando-se um percentual sobre esses custos para definir o preço.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modelo é a precificação com base na concorrência, que pode ser útil para MEIs que enfrentam dificuldades em identificar todos os custos envolvidos na venda de seus produtos ou serviços. Nesse caso, o empreendedor observa os preços praticados pela concorrência e os utiliza como base para definir o preço de venda. </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a precificação com base na demanda é amplamente utilizada por empresas que oferecem produtos ou serviços ao consumidor final, pois considera o valor percebido pelo cliente. Esse modelo busca identificar o preço que o consumidor está disposto a pagar, ajustando o preço ofertado de acordo com essa percepção (Maismei, 2023).</w:t>
      </w:r>
    </w:p>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r074c3k76phu" w:id="12"/>
      <w:bookmarkEnd w:id="12"/>
      <w:r w:rsidDel="00000000" w:rsidR="00000000" w:rsidRPr="00000000">
        <w:rPr>
          <w:rtl w:val="0"/>
        </w:rPr>
        <w:t xml:space="preserve">MÉTODOS DE PRECIFICAÇÃO IDEAIS PARA MEIs</w:t>
      </w:r>
      <w:r w:rsidDel="00000000" w:rsidR="00000000" w:rsidRPr="00000000">
        <w:rPr>
          <w:rtl w:val="0"/>
        </w:rPr>
      </w:r>
    </w:p>
    <w:p w:rsidR="00000000" w:rsidDel="00000000" w:rsidP="00000000" w:rsidRDefault="00000000" w:rsidRPr="00000000" w14:paraId="000001B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a aplicação desses métodos, foram analisados dois casos de microempreendedores. A microempreendedora FB utiliza a precificação com base na concorrência, enquanto DT adota a precificação com base nos custos, calculando o preço pelo método do Markup Ambas não possuem funcionários, fazem a produção em casa para reduzir custos e ainda não estão formalizadas. A análise foi realizada a partir do preço de venda praticado por ambas, bem como da receita e do lucro mensais obtidos. </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mostram que DT apresenta um índice de Markup mais consistente, variando entre 2,3263 e 2,6989, calculado pela divisão do preço de venda pelo custo da mercadoria vendida (Bruni; Famá, 2016). Em contrapartida, FB apresenta uma variação maior, com índices de Markup oscilando entre 1,5938 e 3,2109, o que foi explicado pela própria empreendedora, que define seus preços com base nos valores praticados pela concorrência, sem um parâmetro fixo.</w:t>
      </w:r>
    </w:p>
    <w:p w:rsidR="00000000" w:rsidDel="00000000" w:rsidP="00000000" w:rsidRDefault="00000000" w:rsidRPr="00000000" w14:paraId="000001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os resultados financeiros, observa-se que DT, que utiliza o método baseado nos custos, obteve um faturamento total de R$15.240,00 no período analisado, enquanto FB alcançou R$12.642,60, conforme tabela 3, uma diferença de 20% a favor de DT. Essa diferença reflete a maior estabilidade do método de precificação adotado por DT, que considera os custos do produto e aplica um percentual fixo para obter o preço de venda. </w:t>
      </w:r>
    </w:p>
    <w:p w:rsidR="00000000" w:rsidDel="00000000" w:rsidP="00000000" w:rsidRDefault="00000000" w:rsidRPr="00000000" w14:paraId="000001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FB, ao adotar a precificação baseada na concorrência, enfrentou dificuldades para manter um padrão de preços, variando conforme o mercado e, em alguns casos, reduzindo suas margens de lucro. Além disso, os dados mostram que a sazonalidade impactou os faturamentos de ambas. Nos meses de maior demanda, como maio e agosto, devido às comemorações do Dia das Mães e do Dia dos Pais, os valores faturados ficaram acima da média. Ainda assim, DT apresentou maior estabilidade em seus resultados, com uma queda de 27% entre o maior e o menor faturamento mensal, enquanto FB sofreu uma queda de 31% no mesmo período. A tabela quatro abaixo irá demonstrar abaixo:  </w:t>
      </w:r>
    </w:p>
    <w:p w:rsidR="00000000" w:rsidDel="00000000" w:rsidP="00000000" w:rsidRDefault="00000000" w:rsidRPr="00000000" w14:paraId="000001C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Tabela 4</w:t>
      </w:r>
      <w:r w:rsidDel="00000000" w:rsidR="00000000" w:rsidRPr="00000000">
        <w:rPr>
          <w:rFonts w:ascii="Times New Roman" w:cs="Times New Roman" w:eastAsia="Times New Roman" w:hAnsi="Times New Roman"/>
          <w:sz w:val="24"/>
          <w:szCs w:val="24"/>
          <w:rtl w:val="0"/>
        </w:rPr>
        <w:t xml:space="preserve"> - Faturamento mensal</w:t>
      </w:r>
    </w:p>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40" w:hRule="atLeast"/>
          <w:tblHeader w:val="0"/>
        </w:trPr>
        <w:tc>
          <w:tcPr>
            <w:gridSpan w:val="2"/>
            <w:shd w:fill="cccccc" w:val="clear"/>
          </w:tcPr>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FATURAMENTO DT</w:t>
            </w:r>
          </w:p>
        </w:tc>
        <w:tc>
          <w:tcPr>
            <w:gridSpan w:val="2"/>
            <w:shd w:fill="cccccc" w:val="clear"/>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FATURAMENTO FB</w:t>
            </w:r>
          </w:p>
        </w:tc>
      </w:tr>
      <w:tr>
        <w:trPr>
          <w:cantSplit w:val="0"/>
          <w:tblHeader w:val="0"/>
        </w:trPr>
        <w:tc>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Maio</w:t>
            </w:r>
          </w:p>
        </w:tc>
        <w:tc>
          <w:tcPr/>
          <w:p w:rsidR="00000000" w:rsidDel="00000000" w:rsidP="00000000" w:rsidRDefault="00000000" w:rsidRPr="00000000" w14:paraId="000001C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R$ 2.889,90</w:t>
            </w:r>
          </w:p>
        </w:tc>
        <w:tc>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Maio</w:t>
            </w:r>
          </w:p>
        </w:tc>
        <w:tc>
          <w:tcPr/>
          <w:p w:rsidR="00000000" w:rsidDel="00000000" w:rsidP="00000000" w:rsidRDefault="00000000" w:rsidRPr="00000000" w14:paraId="000001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R$ 2.467,55</w:t>
            </w:r>
          </w:p>
        </w:tc>
      </w:tr>
      <w:tr>
        <w:trPr>
          <w:cantSplit w:val="0"/>
          <w:tblHeader w:val="0"/>
        </w:trPr>
        <w:tc>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Junho</w:t>
            </w:r>
          </w:p>
        </w:tc>
        <w:tc>
          <w:tcPr/>
          <w:p w:rsidR="00000000" w:rsidDel="00000000" w:rsidP="00000000" w:rsidRDefault="00000000" w:rsidRPr="00000000" w14:paraId="000001D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R$ 2.294,40</w:t>
            </w:r>
          </w:p>
        </w:tc>
        <w:tc>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Junho</w:t>
            </w:r>
          </w:p>
        </w:tc>
        <w:tc>
          <w:tcPr/>
          <w:p w:rsidR="00000000" w:rsidDel="00000000" w:rsidP="00000000" w:rsidRDefault="00000000" w:rsidRPr="00000000" w14:paraId="000001D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R$ 1.790,90</w:t>
            </w:r>
          </w:p>
        </w:tc>
      </w:tr>
      <w:tr>
        <w:trPr>
          <w:cantSplit w:val="0"/>
          <w:tblHeader w:val="0"/>
        </w:trPr>
        <w:tc>
          <w:tcPr/>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Julho</w:t>
            </w:r>
          </w:p>
        </w:tc>
        <w:tc>
          <w:tcPr/>
          <w:p w:rsidR="00000000" w:rsidDel="00000000" w:rsidP="00000000" w:rsidRDefault="00000000" w:rsidRPr="00000000" w14:paraId="000001D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R$ 2.108,50</w:t>
            </w:r>
          </w:p>
        </w:tc>
        <w:tc>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Julho</w:t>
            </w:r>
          </w:p>
        </w:tc>
        <w:tc>
          <w:tcPr/>
          <w:p w:rsidR="00000000" w:rsidDel="00000000" w:rsidP="00000000" w:rsidRDefault="00000000" w:rsidRPr="00000000" w14:paraId="000001D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R$ 2.219,35</w:t>
            </w:r>
          </w:p>
        </w:tc>
      </w:tr>
      <w:tr>
        <w:trPr>
          <w:cantSplit w:val="0"/>
          <w:tblHeader w:val="0"/>
        </w:trPr>
        <w:tc>
          <w:tcPr/>
          <w:p w:rsidR="00000000" w:rsidDel="00000000" w:rsidP="00000000" w:rsidRDefault="00000000" w:rsidRPr="00000000" w14:paraId="000001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Agosto</w:t>
            </w:r>
          </w:p>
        </w:tc>
        <w:tc>
          <w:tcPr/>
          <w:p w:rsidR="00000000" w:rsidDel="00000000" w:rsidP="00000000" w:rsidRDefault="00000000" w:rsidRPr="00000000" w14:paraId="000001D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R$ 2.831,40</w:t>
            </w:r>
          </w:p>
        </w:tc>
        <w:tc>
          <w:tcPr/>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Agosto</w:t>
            </w:r>
          </w:p>
        </w:tc>
        <w:tc>
          <w:tcPr/>
          <w:p w:rsidR="00000000" w:rsidDel="00000000" w:rsidP="00000000" w:rsidRDefault="00000000" w:rsidRPr="00000000" w14:paraId="000001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R$ 2.319,80</w:t>
            </w:r>
          </w:p>
        </w:tc>
      </w:tr>
      <w:tr>
        <w:trPr>
          <w:cantSplit w:val="0"/>
          <w:tblHeader w:val="0"/>
        </w:trPr>
        <w:tc>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Setembro</w:t>
            </w:r>
          </w:p>
        </w:tc>
        <w:tc>
          <w:tcPr/>
          <w:p w:rsidR="00000000" w:rsidDel="00000000" w:rsidP="00000000" w:rsidRDefault="00000000" w:rsidRPr="00000000" w14:paraId="000001D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R$ 2.512,80</w:t>
            </w:r>
          </w:p>
        </w:tc>
        <w:tc>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Setembro</w:t>
            </w:r>
          </w:p>
        </w:tc>
        <w:tc>
          <w:tcPr/>
          <w:p w:rsidR="00000000" w:rsidDel="00000000" w:rsidP="00000000" w:rsidRDefault="00000000" w:rsidRPr="00000000" w14:paraId="000001E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R$ 2.115,00</w:t>
            </w:r>
          </w:p>
        </w:tc>
      </w:tr>
      <w:tr>
        <w:trPr>
          <w:cantSplit w:val="0"/>
          <w:tblHeader w:val="0"/>
        </w:trPr>
        <w:tc>
          <w:tcPr/>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Outubro</w:t>
            </w:r>
          </w:p>
        </w:tc>
        <w:tc>
          <w:tcPr/>
          <w:p w:rsidR="00000000" w:rsidDel="00000000" w:rsidP="00000000" w:rsidRDefault="00000000" w:rsidRPr="00000000" w14:paraId="000001E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R$ 2.603,00</w:t>
            </w:r>
          </w:p>
        </w:tc>
        <w:tc>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Outubro</w:t>
            </w:r>
          </w:p>
        </w:tc>
        <w:tc>
          <w:tcPr/>
          <w:p w:rsidR="00000000" w:rsidDel="00000000" w:rsidP="00000000" w:rsidRDefault="00000000" w:rsidRPr="00000000" w14:paraId="000001E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R$ 1.780,00</w:t>
            </w:r>
          </w:p>
        </w:tc>
      </w:tr>
      <w:tr>
        <w:trPr>
          <w:cantSplit w:val="0"/>
          <w:tblHeader w:val="0"/>
        </w:trPr>
        <w:tc>
          <w:tcPr/>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R$ 15.240,00</w:t>
            </w:r>
          </w:p>
        </w:tc>
        <w:tc>
          <w:tcPr/>
          <w:p w:rsidR="00000000" w:rsidDel="00000000" w:rsidP="00000000" w:rsidRDefault="00000000" w:rsidRPr="00000000" w14:paraId="000001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R$ 12.642,60</w:t>
            </w:r>
          </w:p>
        </w:tc>
      </w:tr>
    </w:tbl>
    <w:p w:rsidR="00000000" w:rsidDel="00000000" w:rsidP="00000000" w:rsidRDefault="00000000" w:rsidRPr="00000000" w14:paraId="000001E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Bruni e Famá (2016)</w:t>
      </w:r>
    </w:p>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ressalta Bruni e Famá (2016), a sazonalidade é um fator relevante para microempreendedores, pois impacta diretamente o faturamento. No caso de DT, que faturou R$ 2.889,90 no melhor mês e R$ 2.108,50 no pior, a diferença é de 27%, enquanto FB, que faturou R$ 2.467,55 no melhor mês e R$ 1.700,90 no pior, apresentou uma variação de 31%. Essa diferença reflete o impacto do método de precificação adotado. Enquanto DT, com base no método de Mark-up, conseguiu manter certa estabilidade e crescimento ao longo dos meses, FB sofreu mais com as variações de mercado, uma vez que a precificação baseada na concorrência pode levar a disputas por preços menores e, eventualmente, prejuízos.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Bruni e Famá (2016) destacam que erros na precificação podem inviabilizar um negócio, especialmente para empreendedores que não consideram os custos reais de produção. No caso de FB, a ausência de um parâmetro fixo para precificação, aliada à dependência dos preços da concorrência, compromete sua capacidade de competir no mercado de forma sustentável. Essa prática pode levar a um momento em que o empreendedor não consiga mais manter o negócio financeiramente, devido à redução das margens de lucro e à falta de planejamento estratégico. Por outro lado, DT, ao adotar a metodologia baseada em custos, conseguiu assegurar uma margem de lucro consistente e obter um faturamento 20% maior que FB no período analisado.</w:t>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é essencial que o MEI desenvolva um planejamento financeiro detalhado, separando os gastos pessoais dos gastos do negócio. Essa prática evita confusões que comprometem a gestão financeira e facilita a análise do ponto de equilíbrio, ou seja, o momento em que as receitas cobrem todos os custos, sem gerar prejuízos. Para calcular o preço de venda ideal, o empreendedor deve considerar custos operacionais fixos, custos variáveis, volume de vendas e outros fatores que influenciam direta ou indiretamente o preço. Assim, é possível garantir a viabilidade financeira do negócio e assegurar o lucro.</w:t>
      </w:r>
    </w:p>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pStyle w:val="Title"/>
        <w:numPr>
          <w:ilvl w:val="0"/>
          <w:numId w:val="2"/>
        </w:numPr>
        <w:ind w:left="720" w:hanging="360"/>
        <w:rPr>
          <w:rFonts w:ascii="Times New Roman" w:cs="Times New Roman" w:eastAsia="Times New Roman" w:hAnsi="Times New Roman"/>
          <w:b w:val="1"/>
          <w:bCs w:val="1"/>
          <w:sz w:val="24"/>
          <w:szCs w:val="24"/>
        </w:rPr>
      </w:pPr>
      <w:bookmarkStart w:colFirst="0" w:colLast="0" w:name="_heading=h.59jrzna4k15g" w:id="13"/>
      <w:bookmarkEnd w:id="13"/>
      <w:r w:rsidDel="00000000" w:rsidR="00000000" w:rsidRPr="00000000">
        <w:rPr>
          <w:rtl w:val="0"/>
        </w:rPr>
        <w:t xml:space="preserve">CONCLUSÃO</w:t>
      </w:r>
      <w:r w:rsidDel="00000000" w:rsidR="00000000" w:rsidRPr="00000000">
        <w:rPr>
          <w:rtl w:val="0"/>
        </w:rPr>
      </w:r>
    </w:p>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escolha do método de precificação é um fator crucial para o sucesso do MEI. O método baseado nos custos mostrou-se mais eficiente, como demonstrado no caso da microempreendedora DT, que obteve um desempenho superior ao de FB, que utilizou a precificação baseada na concorrência.</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bom planejamento financeiro e uma gestão consciente da precificação são fundamentais para garantir a sustentabilidade e o crescimento dos pequenos negócios. </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mais estudos são necessários para ampliar o conhecimento sobre o tema e oferecer ferramentas acessíveis que auxiliem os microempreendedores na formação de preços, dessa forma, será possível fortalecer o papel do MEI na economia, garantindo sua longevidade e sucesso.</w:t>
      </w:r>
    </w:p>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pStyle w:val="Title"/>
        <w:ind w:left="0" w:firstLine="0"/>
        <w:rPr/>
      </w:pPr>
      <w:bookmarkStart w:colFirst="0" w:colLast="0" w:name="_heading=h.szt08cv972tf" w:id="14"/>
      <w:bookmarkEnd w:id="14"/>
      <w:r w:rsidDel="00000000" w:rsidR="00000000" w:rsidRPr="00000000">
        <w:br w:type="page"/>
      </w:r>
      <w:r w:rsidDel="00000000" w:rsidR="00000000" w:rsidRPr="00000000">
        <w:rPr>
          <w:rtl w:val="0"/>
        </w:rPr>
      </w:r>
    </w:p>
    <w:p w:rsidR="00000000" w:rsidDel="00000000" w:rsidP="00000000" w:rsidRDefault="00000000" w:rsidRPr="00000000" w14:paraId="00000203">
      <w:pPr>
        <w:pStyle w:val="Title"/>
        <w:ind w:left="0" w:firstLine="0"/>
        <w:rPr/>
      </w:pPr>
      <w:bookmarkStart w:colFirst="0" w:colLast="0" w:name="_heading=h.al2jg5z6wpix" w:id="15"/>
      <w:bookmarkEnd w:id="15"/>
      <w:r w:rsidDel="00000000" w:rsidR="00000000" w:rsidRPr="00000000">
        <w:rPr>
          <w:rtl w:val="0"/>
        </w:rPr>
        <w:t xml:space="preserve">REFERÊNCIAS</w:t>
      </w:r>
    </w:p>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BERTÓ, D. J.; BEULKE, R. </w:t>
      </w:r>
      <w:r w:rsidDel="00000000" w:rsidR="00000000" w:rsidRPr="00000000">
        <w:rPr>
          <w:rFonts w:ascii="Times New Roman" w:cs="Times New Roman" w:eastAsia="Times New Roman" w:hAnsi="Times New Roman"/>
          <w:b w:val="1"/>
          <w:bCs w:val="1"/>
          <w:sz w:val="24"/>
          <w:szCs w:val="24"/>
          <w:rtl w:val="0"/>
        </w:rPr>
        <w:t xml:space="preserve">Gestão de Custos</w:t>
      </w:r>
      <w:r w:rsidDel="00000000" w:rsidR="00000000" w:rsidRPr="00000000">
        <w:rPr>
          <w:rFonts w:ascii="Times New Roman" w:cs="Times New Roman" w:eastAsia="Times New Roman" w:hAnsi="Times New Roman"/>
          <w:sz w:val="24"/>
          <w:szCs w:val="24"/>
          <w:rtl w:val="0"/>
        </w:rPr>
        <w:t xml:space="preserve">. 3. ed. São Paulo: Editora Saraiva, 2017.</w:t>
      </w:r>
    </w:p>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BRUNI, Adriano Leal; FAMÁ, Rubens. </w:t>
      </w:r>
      <w:r w:rsidDel="00000000" w:rsidR="00000000" w:rsidRPr="00000000">
        <w:rPr>
          <w:rFonts w:ascii="Times New Roman" w:cs="Times New Roman" w:eastAsia="Times New Roman" w:hAnsi="Times New Roman"/>
          <w:b w:val="1"/>
          <w:bCs w:val="1"/>
          <w:sz w:val="24"/>
          <w:szCs w:val="24"/>
          <w:rtl w:val="0"/>
        </w:rPr>
        <w:t xml:space="preserve">Gestão de Custos e Formação de Preços</w:t>
      </w:r>
      <w:r w:rsidDel="00000000" w:rsidR="00000000" w:rsidRPr="00000000">
        <w:rPr>
          <w:rFonts w:ascii="Times New Roman" w:cs="Times New Roman" w:eastAsia="Times New Roman" w:hAnsi="Times New Roman"/>
          <w:sz w:val="24"/>
          <w:szCs w:val="24"/>
          <w:rtl w:val="0"/>
        </w:rPr>
        <w:t xml:space="preserve">: Com Aplicações na Calculadora HP 12C e Excel. 5. ed. São Paulo: Atlas, 2016.</w:t>
      </w:r>
    </w:p>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BRUNI, A. L.; FAMÁ, R. </w:t>
      </w:r>
      <w:r w:rsidDel="00000000" w:rsidR="00000000" w:rsidRPr="00000000">
        <w:rPr>
          <w:rFonts w:ascii="Times New Roman" w:cs="Times New Roman" w:eastAsia="Times New Roman" w:hAnsi="Times New Roman"/>
          <w:b w:val="1"/>
          <w:bCs w:val="1"/>
          <w:sz w:val="24"/>
          <w:szCs w:val="24"/>
          <w:rtl w:val="0"/>
        </w:rPr>
        <w:t xml:space="preserve">Gestão financeira para micro e pequenas empresas.</w:t>
      </w:r>
      <w:r w:rsidDel="00000000" w:rsidR="00000000" w:rsidRPr="00000000">
        <w:rPr>
          <w:rFonts w:ascii="Times New Roman" w:cs="Times New Roman" w:eastAsia="Times New Roman" w:hAnsi="Times New Roman"/>
          <w:sz w:val="24"/>
          <w:szCs w:val="24"/>
          <w:rtl w:val="0"/>
        </w:rPr>
        <w:t xml:space="preserve"> 6. ed. São Paulo: Atlas, 2021.</w:t>
      </w:r>
    </w:p>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Instituto Brasileiro de Geografia e Estatística (IBGE) I. </w:t>
      </w:r>
      <w:r w:rsidDel="00000000" w:rsidR="00000000" w:rsidRPr="00000000">
        <w:rPr>
          <w:rFonts w:ascii="Times New Roman" w:cs="Times New Roman" w:eastAsia="Times New Roman" w:hAnsi="Times New Roman"/>
          <w:b w:val="1"/>
          <w:bCs w:val="1"/>
          <w:sz w:val="24"/>
          <w:szCs w:val="24"/>
          <w:rtl w:val="0"/>
        </w:rPr>
        <w:t xml:space="preserve">Rendimento médio do trabalhador brasileiro.</w:t>
      </w:r>
      <w:r w:rsidDel="00000000" w:rsidR="00000000" w:rsidRPr="00000000">
        <w:rPr>
          <w:rFonts w:ascii="Times New Roman" w:cs="Times New Roman" w:eastAsia="Times New Roman" w:hAnsi="Times New Roman"/>
          <w:sz w:val="24"/>
          <w:szCs w:val="24"/>
          <w:rtl w:val="0"/>
        </w:rPr>
        <w:t xml:space="preserve"> 2023. Disponível em: </w:t>
      </w:r>
    </w:p>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https://agenciadenoticias.ibge.gov.br/agencia-sala-de-imprensa/2013-agencia-de-noticias/releases/40201-ibge-divulga-o-rendimento-domiciliar-per-capita-e-o-coeficiente-de-desiquilibrio-regional-de-2023. Acesso em: 20 out. 2024.</w:t>
      </w:r>
    </w:p>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 SLAGMULDER, T. </w:t>
      </w:r>
      <w:r w:rsidDel="00000000" w:rsidR="00000000" w:rsidRPr="00000000">
        <w:rPr>
          <w:rFonts w:ascii="Times New Roman" w:cs="Times New Roman" w:eastAsia="Times New Roman" w:hAnsi="Times New Roman"/>
          <w:b w:val="1"/>
          <w:bCs w:val="1"/>
          <w:sz w:val="24"/>
          <w:szCs w:val="24"/>
          <w:rtl w:val="0"/>
        </w:rPr>
        <w:t xml:space="preserve">Custeio Alvo:</w:t>
      </w:r>
      <w:r w:rsidDel="00000000" w:rsidR="00000000" w:rsidRPr="00000000">
        <w:rPr>
          <w:rFonts w:ascii="Times New Roman" w:cs="Times New Roman" w:eastAsia="Times New Roman" w:hAnsi="Times New Roman"/>
          <w:sz w:val="24"/>
          <w:szCs w:val="24"/>
          <w:rtl w:val="0"/>
        </w:rPr>
        <w:t xml:space="preserve"> Procedimentos e Aplicações. São Paulo: Editora Atlas, 1997.</w:t>
      </w:r>
    </w:p>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FARIA, A. C.; FREITAS, L. H.; MARION, J. C. </w:t>
      </w:r>
      <w:r w:rsidDel="00000000" w:rsidR="00000000" w:rsidRPr="00000000">
        <w:rPr>
          <w:rFonts w:ascii="Times New Roman" w:cs="Times New Roman" w:eastAsia="Times New Roman" w:hAnsi="Times New Roman"/>
          <w:b w:val="1"/>
          <w:bCs w:val="1"/>
          <w:sz w:val="24"/>
          <w:szCs w:val="24"/>
          <w:rtl w:val="0"/>
        </w:rPr>
        <w:t xml:space="preserve">O sistema de custeio-alvo na micro e pequena empresa: uma pesquisa-ação no segmento de plástico.</w:t>
      </w:r>
      <w:r w:rsidDel="00000000" w:rsidR="00000000" w:rsidRPr="00000000">
        <w:rPr>
          <w:rFonts w:ascii="Times New Roman" w:cs="Times New Roman" w:eastAsia="Times New Roman" w:hAnsi="Times New Roman"/>
          <w:sz w:val="24"/>
          <w:szCs w:val="24"/>
          <w:rtl w:val="0"/>
        </w:rPr>
        <w:t xml:space="preserve"> Anais do Congresso Brasileiro de Custos – ABC, 2008.</w:t>
      </w:r>
    </w:p>
    <w:p w:rsidR="00000000" w:rsidDel="00000000" w:rsidP="00000000" w:rsidRDefault="00000000" w:rsidRPr="00000000" w14:paraId="000002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FEDERAÇÃO DAS CÂMARAS DE DIRIGENTES LOJISTAS DE SANTA CATARINA (FCDL-SC). </w:t>
      </w:r>
      <w:r w:rsidDel="00000000" w:rsidR="00000000" w:rsidRPr="00000000">
        <w:rPr>
          <w:rFonts w:ascii="Times New Roman" w:cs="Times New Roman" w:eastAsia="Times New Roman" w:hAnsi="Times New Roman"/>
          <w:b w:val="1"/>
          <w:bCs w:val="1"/>
          <w:sz w:val="24"/>
          <w:szCs w:val="24"/>
          <w:rtl w:val="0"/>
        </w:rPr>
        <w:t xml:space="preserve">Os 13 maiores desafios de empreendedores iniciantes</w:t>
      </w:r>
      <w:r w:rsidDel="00000000" w:rsidR="00000000" w:rsidRPr="00000000">
        <w:rPr>
          <w:rFonts w:ascii="Times New Roman" w:cs="Times New Roman" w:eastAsia="Times New Roman" w:hAnsi="Times New Roman"/>
          <w:sz w:val="24"/>
          <w:szCs w:val="24"/>
          <w:rtl w:val="0"/>
        </w:rPr>
        <w:t xml:space="preserve">. 2023. Disponível em: https://www.fcdl-sc.org.br/fcdl-noticias/os-13-maiores-desafios-de-empreendedores-iniciantes/. Acesso em: 20 out. 2024.</w:t>
      </w:r>
    </w:p>
    <w:p w:rsidR="00000000" w:rsidDel="00000000" w:rsidP="00000000" w:rsidRDefault="00000000" w:rsidRPr="00000000" w14:paraId="000002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A. C.; ALMEIDA, P. M. </w:t>
      </w:r>
      <w:r w:rsidDel="00000000" w:rsidR="00000000" w:rsidRPr="00000000">
        <w:rPr>
          <w:rFonts w:ascii="Times New Roman" w:cs="Times New Roman" w:eastAsia="Times New Roman" w:hAnsi="Times New Roman"/>
          <w:b w:val="1"/>
          <w:bCs w:val="1"/>
          <w:sz w:val="24"/>
          <w:szCs w:val="24"/>
          <w:rtl w:val="0"/>
        </w:rPr>
        <w:t xml:space="preserve">Gestão financeira estratégica em micro e pequenas empresas:</w:t>
      </w:r>
      <w:r w:rsidDel="00000000" w:rsidR="00000000" w:rsidRPr="00000000">
        <w:rPr>
          <w:rFonts w:ascii="Times New Roman" w:cs="Times New Roman" w:eastAsia="Times New Roman" w:hAnsi="Times New Roman"/>
          <w:sz w:val="24"/>
          <w:szCs w:val="24"/>
          <w:rtl w:val="0"/>
        </w:rPr>
        <w:t xml:space="preserve"> uma análise contemporânea. Revista de Administração Contemporânea, 2023.</w:t>
      </w:r>
    </w:p>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HORNGREN, C. T.; DATAR, S. M.; RAJAN, M. V. </w:t>
      </w:r>
      <w:r w:rsidDel="00000000" w:rsidR="00000000" w:rsidRPr="00000000">
        <w:rPr>
          <w:rFonts w:ascii="Times New Roman" w:cs="Times New Roman" w:eastAsia="Times New Roman" w:hAnsi="Times New Roman"/>
          <w:b w:val="1"/>
          <w:bCs w:val="1"/>
          <w:sz w:val="24"/>
          <w:szCs w:val="24"/>
          <w:rtl w:val="0"/>
        </w:rPr>
        <w:t xml:space="preserve">Cost Accounting</w:t>
      </w:r>
      <w:r w:rsidDel="00000000" w:rsidR="00000000" w:rsidRPr="00000000">
        <w:rPr>
          <w:rFonts w:ascii="Times New Roman" w:cs="Times New Roman" w:eastAsia="Times New Roman" w:hAnsi="Times New Roman"/>
          <w:sz w:val="24"/>
          <w:szCs w:val="24"/>
          <w:rtl w:val="0"/>
        </w:rPr>
        <w:t xml:space="preserve">: A Managerial Emphasis. 17. ed. Harlow, England: Pearson, 2023.</w:t>
      </w:r>
    </w:p>
    <w:p w:rsidR="00000000" w:rsidDel="00000000" w:rsidP="00000000" w:rsidRDefault="00000000" w:rsidRPr="00000000" w14:paraId="000002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HIRIYAPPA, B. </w:t>
      </w:r>
      <w:r w:rsidDel="00000000" w:rsidR="00000000" w:rsidRPr="00000000">
        <w:rPr>
          <w:rFonts w:ascii="Times New Roman" w:cs="Times New Roman" w:eastAsia="Times New Roman" w:hAnsi="Times New Roman"/>
          <w:b w:val="1"/>
          <w:bCs w:val="1"/>
          <w:sz w:val="24"/>
          <w:szCs w:val="24"/>
          <w:rtl w:val="0"/>
        </w:rPr>
        <w:t xml:space="preserve">Gestão de custos e formação de preços: uma abordagem estratégica.</w:t>
      </w:r>
      <w:r w:rsidDel="00000000" w:rsidR="00000000" w:rsidRPr="00000000">
        <w:rPr>
          <w:rFonts w:ascii="Times New Roman" w:cs="Times New Roman" w:eastAsia="Times New Roman" w:hAnsi="Times New Roman"/>
          <w:sz w:val="24"/>
          <w:szCs w:val="24"/>
          <w:rtl w:val="0"/>
        </w:rPr>
        <w:t xml:space="preserve"> [S. l.]: Independente, 2020.</w:t>
      </w:r>
    </w:p>
    <w:p w:rsidR="00000000" w:rsidDel="00000000" w:rsidP="00000000" w:rsidRDefault="00000000" w:rsidRPr="00000000" w14:paraId="000002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Philip. </w:t>
      </w:r>
      <w:r w:rsidDel="00000000" w:rsidR="00000000" w:rsidRPr="00000000">
        <w:rPr>
          <w:rFonts w:ascii="Times New Roman" w:cs="Times New Roman" w:eastAsia="Times New Roman" w:hAnsi="Times New Roman"/>
          <w:b w:val="1"/>
          <w:bCs w:val="1"/>
          <w:sz w:val="24"/>
          <w:szCs w:val="24"/>
          <w:rtl w:val="0"/>
        </w:rPr>
        <w:t xml:space="preserve">Administração de marketing.</w:t>
      </w:r>
      <w:r w:rsidDel="00000000" w:rsidR="00000000" w:rsidRPr="00000000">
        <w:rPr>
          <w:rFonts w:ascii="Times New Roman" w:cs="Times New Roman" w:eastAsia="Times New Roman" w:hAnsi="Times New Roman"/>
          <w:sz w:val="24"/>
          <w:szCs w:val="24"/>
          <w:rtl w:val="0"/>
        </w:rPr>
        <w:t xml:space="preserve"> 15. ed. São Paulo: Pearson, 2017.</w:t>
      </w:r>
    </w:p>
    <w:p w:rsidR="00000000" w:rsidDel="00000000" w:rsidP="00000000" w:rsidRDefault="00000000" w:rsidRPr="00000000" w14:paraId="000002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MAHER, M. </w:t>
      </w:r>
      <w:r w:rsidDel="00000000" w:rsidR="00000000" w:rsidRPr="00000000">
        <w:rPr>
          <w:rFonts w:ascii="Times New Roman" w:cs="Times New Roman" w:eastAsia="Times New Roman" w:hAnsi="Times New Roman"/>
          <w:b w:val="1"/>
          <w:bCs w:val="1"/>
          <w:sz w:val="24"/>
          <w:szCs w:val="24"/>
          <w:rtl w:val="0"/>
        </w:rPr>
        <w:t xml:space="preserve">Contabilidade de custos:</w:t>
      </w:r>
      <w:r w:rsidDel="00000000" w:rsidR="00000000" w:rsidRPr="00000000">
        <w:rPr>
          <w:rFonts w:ascii="Times New Roman" w:cs="Times New Roman" w:eastAsia="Times New Roman" w:hAnsi="Times New Roman"/>
          <w:sz w:val="24"/>
          <w:szCs w:val="24"/>
          <w:rtl w:val="0"/>
        </w:rPr>
        <w:t xml:space="preserve"> criando valor para a administração. Trad. José Evaristo dos Santos. 1. ed. São Paulo: Atlas, 2001.</w:t>
      </w:r>
    </w:p>
    <w:p w:rsidR="00000000" w:rsidDel="00000000" w:rsidP="00000000" w:rsidRDefault="00000000" w:rsidRPr="00000000" w14:paraId="000002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MAISMEI.</w:t>
      </w:r>
      <w:r w:rsidDel="00000000" w:rsidR="00000000" w:rsidRPr="00000000">
        <w:rPr>
          <w:rFonts w:ascii="Times New Roman" w:cs="Times New Roman" w:eastAsia="Times New Roman" w:hAnsi="Times New Roman"/>
          <w:b w:val="1"/>
          <w:bCs w:val="1"/>
          <w:sz w:val="24"/>
          <w:szCs w:val="24"/>
          <w:rtl w:val="0"/>
        </w:rPr>
        <w:t xml:space="preserve"> Precificação de serviços para MEI</w:t>
      </w:r>
      <w:r w:rsidDel="00000000" w:rsidR="00000000" w:rsidRPr="00000000">
        <w:rPr>
          <w:rFonts w:ascii="Times New Roman" w:cs="Times New Roman" w:eastAsia="Times New Roman" w:hAnsi="Times New Roman"/>
          <w:sz w:val="24"/>
          <w:szCs w:val="24"/>
          <w:rtl w:val="0"/>
        </w:rPr>
        <w:t xml:space="preserve">: tudo o que você precisa saber para definir os valores ideais. 2023. Disponível em: </w:t>
      </w:r>
    </w:p>
    <w:p w:rsidR="00000000" w:rsidDel="00000000" w:rsidP="00000000" w:rsidRDefault="00000000" w:rsidRPr="00000000" w14:paraId="000002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https://www.maismei.com.br/blog/precificacao-de-servicos-para-mei-tudo-o-que-voce-precisa-saber-para-definir-os-valores-ideais. Acesso em: 20 out. 2024.</w:t>
      </w:r>
    </w:p>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MAISMEI. </w:t>
      </w:r>
      <w:r w:rsidDel="00000000" w:rsidR="00000000" w:rsidRPr="00000000">
        <w:rPr>
          <w:rFonts w:ascii="Times New Roman" w:cs="Times New Roman" w:eastAsia="Times New Roman" w:hAnsi="Times New Roman"/>
          <w:b w:val="1"/>
          <w:bCs w:val="1"/>
          <w:sz w:val="24"/>
          <w:szCs w:val="24"/>
          <w:rtl w:val="0"/>
        </w:rPr>
        <w:t xml:space="preserve">Gestão financeira do MEI:</w:t>
      </w:r>
      <w:r w:rsidDel="00000000" w:rsidR="00000000" w:rsidRPr="00000000">
        <w:rPr>
          <w:rFonts w:ascii="Times New Roman" w:cs="Times New Roman" w:eastAsia="Times New Roman" w:hAnsi="Times New Roman"/>
          <w:sz w:val="24"/>
          <w:szCs w:val="24"/>
          <w:rtl w:val="0"/>
        </w:rPr>
        <w:t xml:space="preserve"> o guia definitivo para o sucesso do seu negócio. 2020. Disponível em: </w:t>
      </w:r>
    </w:p>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https://www.maismei.com.br/blog/gestao-financeira-do-mei-o-guia-definitivo-para-o-sucesso-do-seu-negocio. Acesso em: 20 fev. 2024.</w:t>
      </w:r>
    </w:p>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Eliseu. </w:t>
      </w:r>
      <w:r w:rsidDel="00000000" w:rsidR="00000000" w:rsidRPr="00000000">
        <w:rPr>
          <w:rFonts w:ascii="Times New Roman" w:cs="Times New Roman" w:eastAsia="Times New Roman" w:hAnsi="Times New Roman"/>
          <w:b w:val="1"/>
          <w:bCs w:val="1"/>
          <w:sz w:val="24"/>
          <w:szCs w:val="24"/>
          <w:rtl w:val="0"/>
        </w:rPr>
        <w:t xml:space="preserve">Contabilidade de custos.</w:t>
      </w:r>
      <w:r w:rsidDel="00000000" w:rsidR="00000000" w:rsidRPr="00000000">
        <w:rPr>
          <w:rFonts w:ascii="Times New Roman" w:cs="Times New Roman" w:eastAsia="Times New Roman" w:hAnsi="Times New Roman"/>
          <w:sz w:val="24"/>
          <w:szCs w:val="24"/>
          <w:rtl w:val="0"/>
        </w:rPr>
        <w:t xml:space="preserve"> 11. ed. São Paulo: Atlas, 2018.</w:t>
      </w:r>
    </w:p>
    <w:p w:rsidR="00000000" w:rsidDel="00000000" w:rsidP="00000000" w:rsidRDefault="00000000" w:rsidRPr="00000000" w14:paraId="000002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 Michael E. </w:t>
      </w:r>
      <w:r w:rsidDel="00000000" w:rsidR="00000000" w:rsidRPr="00000000">
        <w:rPr>
          <w:rFonts w:ascii="Times New Roman" w:cs="Times New Roman" w:eastAsia="Times New Roman" w:hAnsi="Times New Roman"/>
          <w:b w:val="1"/>
          <w:bCs w:val="1"/>
          <w:sz w:val="24"/>
          <w:szCs w:val="24"/>
          <w:rtl w:val="0"/>
        </w:rPr>
        <w:t xml:space="preserve">Estratégia competitiva: técnicas para análise de indústrias e da concorrência.</w:t>
      </w:r>
      <w:r w:rsidDel="00000000" w:rsidR="00000000" w:rsidRPr="00000000">
        <w:rPr>
          <w:rFonts w:ascii="Times New Roman" w:cs="Times New Roman" w:eastAsia="Times New Roman" w:hAnsi="Times New Roman"/>
          <w:sz w:val="24"/>
          <w:szCs w:val="24"/>
          <w:rtl w:val="0"/>
        </w:rPr>
        <w:t xml:space="preserve"> 2. ed. Rio de Janeiro: Elsevier, 2008.</w:t>
      </w:r>
    </w:p>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Como definir o preço de venda de um produto ou serviço</w:t>
      </w:r>
      <w:r w:rsidDel="00000000" w:rsidR="00000000" w:rsidRPr="00000000">
        <w:rPr>
          <w:rFonts w:ascii="Times New Roman" w:cs="Times New Roman" w:eastAsia="Times New Roman" w:hAnsi="Times New Roman"/>
          <w:sz w:val="24"/>
          <w:szCs w:val="24"/>
          <w:rtl w:val="0"/>
        </w:rPr>
        <w:t xml:space="preserve">. 2022a. Disponível em: https://sebrae.com.br/sites/PortalSebrae/artigos/como-definir-o-preco-de-venda-de-um-produto-ou servico,cc9836 627a963410VgnVCM1000003b74010RC RD. Acesso em: 18 out. 2024.</w:t>
      </w:r>
    </w:p>
    <w:p w:rsidR="00000000" w:rsidDel="00000000" w:rsidP="00000000" w:rsidRDefault="00000000" w:rsidRPr="00000000" w14:paraId="0000022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O maior desafio do MEI:</w:t>
      </w:r>
      <w:r w:rsidDel="00000000" w:rsidR="00000000" w:rsidRPr="00000000">
        <w:rPr>
          <w:rFonts w:ascii="Times New Roman" w:cs="Times New Roman" w:eastAsia="Times New Roman" w:hAnsi="Times New Roman"/>
          <w:sz w:val="24"/>
          <w:szCs w:val="24"/>
          <w:rtl w:val="0"/>
        </w:rPr>
        <w:t xml:space="preserve"> gestão dos gastos. 2022b. Disponível em: https://sebrae.com.br/sites/PortalSebrae/conteudos/posts/o-maior-desafio-do-mei-gestao-dos-gastos,ac2f151eea156810VgnVCM1000001b00320aRCRD. Acesso em: 18 out. 2024.</w:t>
      </w:r>
    </w:p>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Saiba o que são custos fixos e custos variáveis.</w:t>
      </w:r>
      <w:r w:rsidDel="00000000" w:rsidR="00000000" w:rsidRPr="00000000">
        <w:rPr>
          <w:rFonts w:ascii="Times New Roman" w:cs="Times New Roman" w:eastAsia="Times New Roman" w:hAnsi="Times New Roman"/>
          <w:sz w:val="24"/>
          <w:szCs w:val="24"/>
          <w:rtl w:val="0"/>
        </w:rPr>
        <w:t xml:space="preserve"> 2022c. Disponível em: https://sebrae.com.br/sites/PortalSebrae/artigos/saiba-o-que-sao-custos-fixos-e-custos-variaveis,7cf697daf5c55610VgnVCM1000004c00210aRCRD. Acesso em: 18 out. 2024.</w:t>
      </w:r>
    </w:p>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w:t>
      </w:r>
      <w:r w:rsidDel="00000000" w:rsidR="00000000" w:rsidRPr="00000000">
        <w:rPr>
          <w:rFonts w:ascii="Times New Roman" w:cs="Times New Roman" w:eastAsia="Times New Roman" w:hAnsi="Times New Roman"/>
          <w:b w:val="1"/>
          <w:bCs w:val="1"/>
          <w:sz w:val="24"/>
          <w:szCs w:val="24"/>
          <w:rtl w:val="0"/>
        </w:rPr>
        <w:t xml:space="preserve">Markup:</w:t>
      </w:r>
      <w:r w:rsidDel="00000000" w:rsidR="00000000" w:rsidRPr="00000000">
        <w:rPr>
          <w:rFonts w:ascii="Times New Roman" w:cs="Times New Roman" w:eastAsia="Times New Roman" w:hAnsi="Times New Roman"/>
          <w:sz w:val="24"/>
          <w:szCs w:val="24"/>
          <w:rtl w:val="0"/>
        </w:rPr>
        <w:t xml:space="preserve"> saiba calcular para definir preços com segurança. 2022d. Disponível em: https://sebrae.com.br/sites/PortalSebrae/artigos/markup-saiba-calcular-para-definir-precos-com-seguranca-94b3013555956810VgnVCM1000001b00320aRCRD. Acesso em: 19 out. 2024.</w:t>
      </w:r>
    </w:p>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R. B.; MENDES, F. G. </w:t>
      </w:r>
      <w:r w:rsidDel="00000000" w:rsidR="00000000" w:rsidRPr="00000000">
        <w:rPr>
          <w:rFonts w:ascii="Times New Roman" w:cs="Times New Roman" w:eastAsia="Times New Roman" w:hAnsi="Times New Roman"/>
          <w:b w:val="1"/>
          <w:bCs w:val="1"/>
          <w:sz w:val="24"/>
          <w:szCs w:val="24"/>
          <w:rtl w:val="0"/>
        </w:rPr>
        <w:t xml:space="preserve">Custos e despesas na gestão financeira empresarial:</w:t>
      </w:r>
      <w:r w:rsidDel="00000000" w:rsidR="00000000" w:rsidRPr="00000000">
        <w:rPr>
          <w:rFonts w:ascii="Times New Roman" w:cs="Times New Roman" w:eastAsia="Times New Roman" w:hAnsi="Times New Roman"/>
          <w:sz w:val="24"/>
          <w:szCs w:val="24"/>
          <w:rtl w:val="0"/>
        </w:rPr>
        <w:t xml:space="preserve"> uma abordagem prática. Journal of Financial Studies, 2023.</w:t>
      </w:r>
    </w:p>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SAKURAI, M. </w:t>
      </w:r>
      <w:r w:rsidDel="00000000" w:rsidR="00000000" w:rsidRPr="00000000">
        <w:rPr>
          <w:rFonts w:ascii="Times New Roman" w:cs="Times New Roman" w:eastAsia="Times New Roman" w:hAnsi="Times New Roman"/>
          <w:b w:val="1"/>
          <w:bCs w:val="1"/>
          <w:sz w:val="24"/>
          <w:szCs w:val="24"/>
          <w:rtl w:val="0"/>
        </w:rPr>
        <w:t xml:space="preserve">Gerenciamento Integrado de Custos.</w:t>
      </w:r>
      <w:r w:rsidDel="00000000" w:rsidR="00000000" w:rsidRPr="00000000">
        <w:rPr>
          <w:rFonts w:ascii="Times New Roman" w:cs="Times New Roman" w:eastAsia="Times New Roman" w:hAnsi="Times New Roman"/>
          <w:sz w:val="24"/>
          <w:szCs w:val="24"/>
          <w:rtl w:val="0"/>
        </w:rPr>
        <w:t xml:space="preserve"> São Paulo: Atlas, 1997.</w:t>
      </w:r>
    </w:p>
    <w:p w:rsidR="00000000" w:rsidDel="00000000" w:rsidP="00000000" w:rsidRDefault="00000000" w:rsidRPr="00000000" w14:paraId="000002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360" w:lineRule="auto"/>
        <w:rPr>
          <w:rFonts w:ascii="Times New Roman" w:cs="Times New Roman" w:eastAsia="Times New Roman" w:hAnsi="Times New Roman"/>
          <w:sz w:val="24"/>
          <w:szCs w:val="24"/>
        </w:rPr>
      </w:pPr>
      <w:r w:rsidDel="00000000" w:rsidR="00000000" w:rsidRPr="00000000">
        <w:rPr>
          <w:rtl w:val="0"/>
        </w:rPr>
      </w:r>
    </w:p>
    <w:sectPr>
      <w:footerReference r:id="rId10" w:type="default"/>
      <w:type w:val="nextPage"/>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rFonts w:ascii="Times New Roman" w:cs="Times New Roman" w:eastAsia="Times New Roman" w:hAnsi="Times New Roman"/>
        <w:b w:val="1"/>
        <w:bCs w:val="1"/>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line="360" w:lineRule="auto"/>
      <w:ind w:left="720" w:hanging="360"/>
    </w:pPr>
    <w:rPr>
      <w:rFonts w:ascii="Times New Roman" w:cs="Times New Roman" w:eastAsia="Times New Roman" w:hAnsi="Times New Roman"/>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QedgvXe3AwN4t9E+CoYb5pa4w==">CgMxLjAyDmguOHcyMXA2anZwM2w2Mg5oLm9oenlybTJubXp0MjIOaC5jYndrY3ZsbHUxcnQyDmguanYxaWx4OHN6bHhkMg5oLmRvcW51MXFtdzJraDINaC5uMWc2YXJ0N2RvMDIOaC5rdmM5bDhoZmR6cnoyDWgudjhvb3U1N3ZqanQyDmgudjU4cDUydWR0cjdnMg5oLmF3OGw3MHBjam15YjIOaC5wdnFhNHFqYWw2bHoyDmgudnVoNTZ6NjFqOXJzMg5oLnIwNzRjM2s3NnBodTIOaC41OWpyem5hNGsxNWcyDmguc3p0MDhjdjk3MnRmMg5oLmFsMmpnNXo2d3BpeDgAciExak82SjlHaHphc1d0NjZRcWVUT25UcXVsVGY5M3U2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